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7B894" w14:textId="51B4CC7F" w:rsidR="000D2FCD" w:rsidRPr="000D2FCD" w:rsidRDefault="008E3E7C" w:rsidP="008E3E7C">
      <w:pPr>
        <w:jc w:val="center"/>
        <w:rPr>
          <w:rFonts w:ascii="黑体" w:eastAsia="黑体" w:hAnsi="黑体"/>
          <w:b/>
          <w:sz w:val="36"/>
          <w:szCs w:val="36"/>
        </w:rPr>
      </w:pPr>
      <w:r w:rsidRPr="000D2FCD">
        <w:rPr>
          <w:rFonts w:ascii="黑体" w:eastAsia="黑体" w:hAnsi="黑体" w:hint="eastAsia"/>
          <w:b/>
          <w:sz w:val="36"/>
          <w:szCs w:val="36"/>
        </w:rPr>
        <w:t>《生物制品上市后</w:t>
      </w:r>
      <w:r w:rsidR="003522A9">
        <w:rPr>
          <w:rFonts w:ascii="黑体" w:eastAsia="黑体" w:hAnsi="黑体" w:hint="eastAsia"/>
          <w:b/>
          <w:sz w:val="36"/>
          <w:szCs w:val="36"/>
        </w:rPr>
        <w:t>药学</w:t>
      </w:r>
      <w:r w:rsidRPr="000D2FCD">
        <w:rPr>
          <w:rFonts w:ascii="黑体" w:eastAsia="黑体" w:hAnsi="黑体" w:hint="eastAsia"/>
          <w:b/>
          <w:sz w:val="36"/>
          <w:szCs w:val="36"/>
        </w:rPr>
        <w:t>变更研究技术指导原则》</w:t>
      </w:r>
    </w:p>
    <w:p w14:paraId="2480DA10" w14:textId="1490D63D" w:rsidR="0082586E" w:rsidRPr="000D2FCD" w:rsidRDefault="008E3E7C" w:rsidP="008E3E7C">
      <w:pPr>
        <w:jc w:val="center"/>
        <w:rPr>
          <w:rFonts w:ascii="黑体" w:eastAsia="黑体" w:hAnsi="黑体"/>
          <w:b/>
          <w:sz w:val="36"/>
          <w:szCs w:val="36"/>
        </w:rPr>
      </w:pPr>
      <w:r w:rsidRPr="000D2FCD">
        <w:rPr>
          <w:rFonts w:ascii="黑体" w:eastAsia="黑体" w:hAnsi="黑体" w:hint="eastAsia"/>
          <w:b/>
          <w:sz w:val="36"/>
          <w:szCs w:val="36"/>
        </w:rPr>
        <w:t>（</w:t>
      </w:r>
      <w:r w:rsidR="002E5023">
        <w:rPr>
          <w:rFonts w:ascii="黑体" w:eastAsia="黑体" w:hAnsi="黑体"/>
          <w:b/>
          <w:sz w:val="36"/>
          <w:szCs w:val="36"/>
        </w:rPr>
        <w:t>上网征求意见稿</w:t>
      </w:r>
      <w:r w:rsidRPr="000D2FCD">
        <w:rPr>
          <w:rFonts w:ascii="黑体" w:eastAsia="黑体" w:hAnsi="黑体" w:hint="eastAsia"/>
          <w:b/>
          <w:sz w:val="36"/>
          <w:szCs w:val="36"/>
        </w:rPr>
        <w:t>）起草和修订说明</w:t>
      </w:r>
    </w:p>
    <w:p w14:paraId="7E3A588C" w14:textId="77777777" w:rsidR="000D2FCD" w:rsidRPr="000D2FCD" w:rsidRDefault="000D2FCD" w:rsidP="008E3E7C">
      <w:pPr>
        <w:jc w:val="center"/>
        <w:rPr>
          <w:rFonts w:ascii="黑体" w:eastAsia="黑体" w:hAnsi="黑体"/>
          <w:b/>
          <w:sz w:val="36"/>
          <w:szCs w:val="36"/>
        </w:rPr>
      </w:pPr>
    </w:p>
    <w:p w14:paraId="1F63F0AB" w14:textId="77777777" w:rsidR="008E3E7C" w:rsidRPr="000D2FCD" w:rsidRDefault="008E3E7C" w:rsidP="000D5B1E">
      <w:pPr>
        <w:adjustRightInd w:val="0"/>
        <w:snapToGrid w:val="0"/>
        <w:spacing w:line="360" w:lineRule="auto"/>
        <w:ind w:firstLineChars="202" w:firstLine="566"/>
        <w:rPr>
          <w:rFonts w:ascii="华文仿宋" w:eastAsia="华文仿宋" w:hAnsi="华文仿宋" w:cs="仿宋_GB2312"/>
          <w:sz w:val="28"/>
          <w:szCs w:val="28"/>
        </w:rPr>
      </w:pPr>
      <w:r w:rsidRPr="000D2FCD">
        <w:rPr>
          <w:rFonts w:ascii="华文仿宋" w:eastAsia="华文仿宋" w:hAnsi="华文仿宋" w:cs="仿宋_GB2312" w:hint="eastAsia"/>
          <w:sz w:val="28"/>
          <w:szCs w:val="28"/>
        </w:rPr>
        <w:t>为配合《中国人民共和国药品管理法》、《中华人民共和国疫苗管理法》</w:t>
      </w:r>
      <w:r w:rsidR="000D2FCD">
        <w:rPr>
          <w:rFonts w:ascii="华文仿宋" w:eastAsia="华文仿宋" w:hAnsi="华文仿宋" w:cs="仿宋_GB2312" w:hint="eastAsia"/>
          <w:sz w:val="28"/>
          <w:szCs w:val="28"/>
        </w:rPr>
        <w:t>2019年1</w:t>
      </w:r>
      <w:r w:rsidR="000D2FCD">
        <w:rPr>
          <w:rFonts w:ascii="华文仿宋" w:eastAsia="华文仿宋" w:hAnsi="华文仿宋" w:cs="仿宋_GB2312"/>
          <w:sz w:val="28"/>
          <w:szCs w:val="28"/>
        </w:rPr>
        <w:t>2</w:t>
      </w:r>
      <w:r w:rsidR="000D2FCD">
        <w:rPr>
          <w:rFonts w:ascii="华文仿宋" w:eastAsia="华文仿宋" w:hAnsi="华文仿宋" w:cs="仿宋_GB2312" w:hint="eastAsia"/>
          <w:sz w:val="28"/>
          <w:szCs w:val="28"/>
        </w:rPr>
        <w:t>月</w:t>
      </w:r>
      <w:r w:rsidRPr="000D2FCD">
        <w:rPr>
          <w:rFonts w:ascii="华文仿宋" w:eastAsia="华文仿宋" w:hAnsi="华文仿宋" w:cs="仿宋_GB2312" w:hint="eastAsia"/>
          <w:sz w:val="28"/>
          <w:szCs w:val="28"/>
        </w:rPr>
        <w:t>的</w:t>
      </w:r>
      <w:r w:rsidR="000D2FCD">
        <w:rPr>
          <w:rFonts w:ascii="华文仿宋" w:eastAsia="华文仿宋" w:hAnsi="华文仿宋" w:cs="仿宋_GB2312" w:hint="eastAsia"/>
          <w:sz w:val="28"/>
          <w:szCs w:val="28"/>
        </w:rPr>
        <w:t>正式</w:t>
      </w:r>
      <w:r w:rsidRPr="000D2FCD">
        <w:rPr>
          <w:rFonts w:ascii="华文仿宋" w:eastAsia="华文仿宋" w:hAnsi="华文仿宋" w:cs="仿宋_GB2312" w:hint="eastAsia"/>
          <w:sz w:val="28"/>
          <w:szCs w:val="28"/>
        </w:rPr>
        <w:t>实施，</w:t>
      </w:r>
      <w:r w:rsidR="000D2FCD">
        <w:rPr>
          <w:rFonts w:ascii="华文仿宋" w:eastAsia="华文仿宋" w:hAnsi="华文仿宋" w:cs="仿宋_GB2312" w:hint="eastAsia"/>
          <w:sz w:val="28"/>
          <w:szCs w:val="28"/>
        </w:rPr>
        <w:t>作为新版《药品注册管理办法》的配套文件，</w:t>
      </w:r>
      <w:r w:rsidR="00F413BD">
        <w:rPr>
          <w:rFonts w:ascii="华文仿宋" w:eastAsia="华文仿宋" w:hAnsi="华文仿宋" w:cs="仿宋_GB2312" w:hint="eastAsia"/>
          <w:sz w:val="28"/>
          <w:szCs w:val="28"/>
        </w:rPr>
        <w:t>起草小组</w:t>
      </w:r>
      <w:r w:rsidRPr="000D2FCD">
        <w:rPr>
          <w:rFonts w:ascii="华文仿宋" w:eastAsia="华文仿宋" w:hAnsi="华文仿宋" w:cs="仿宋_GB2312" w:hint="eastAsia"/>
          <w:sz w:val="28"/>
          <w:szCs w:val="28"/>
        </w:rPr>
        <w:t>起草了本技术指导原则。现将有关起草及修订情况说明如下：</w:t>
      </w:r>
    </w:p>
    <w:p w14:paraId="581482B2" w14:textId="77777777" w:rsidR="008E3E7C" w:rsidRPr="000D2FCD" w:rsidRDefault="008E3E7C" w:rsidP="008E3E7C">
      <w:pPr>
        <w:ind w:left="560"/>
        <w:rPr>
          <w:rFonts w:ascii="华文仿宋" w:eastAsia="华文仿宋" w:hAnsi="华文仿宋" w:cs="黑体"/>
          <w:b/>
          <w:sz w:val="28"/>
          <w:szCs w:val="28"/>
        </w:rPr>
      </w:pPr>
      <w:r w:rsidRPr="000D2FCD">
        <w:rPr>
          <w:rFonts w:ascii="华文仿宋" w:eastAsia="华文仿宋" w:hAnsi="华文仿宋" w:cs="黑体" w:hint="eastAsia"/>
          <w:b/>
          <w:sz w:val="28"/>
          <w:szCs w:val="28"/>
        </w:rPr>
        <w:t>一、起草背景</w:t>
      </w:r>
    </w:p>
    <w:p w14:paraId="23F1DE51" w14:textId="77777777" w:rsidR="000D5B1E" w:rsidRPr="000D2FCD" w:rsidRDefault="000D2FCD" w:rsidP="008E3E7C">
      <w:pPr>
        <w:spacing w:line="360" w:lineRule="auto"/>
        <w:ind w:firstLineChars="200" w:firstLine="560"/>
        <w:jc w:val="left"/>
        <w:rPr>
          <w:rFonts w:ascii="仿宋" w:eastAsia="仿宋" w:hAnsi="仿宋"/>
          <w:sz w:val="28"/>
          <w:szCs w:val="28"/>
        </w:rPr>
      </w:pPr>
      <w:r w:rsidRPr="000D2FCD">
        <w:rPr>
          <w:rFonts w:ascii="仿宋" w:eastAsia="仿宋" w:hAnsi="仿宋" w:hint="eastAsia"/>
          <w:sz w:val="28"/>
          <w:szCs w:val="28"/>
        </w:rPr>
        <w:t>为</w:t>
      </w:r>
      <w:r w:rsidR="00463D81" w:rsidRPr="000D2FCD">
        <w:rPr>
          <w:rFonts w:ascii="仿宋" w:eastAsia="仿宋" w:hAnsi="仿宋" w:hint="eastAsia"/>
          <w:sz w:val="28"/>
          <w:szCs w:val="28"/>
        </w:rPr>
        <w:t>落实</w:t>
      </w:r>
      <w:r w:rsidR="00463D81">
        <w:rPr>
          <w:rFonts w:ascii="仿宋" w:eastAsia="仿宋" w:hAnsi="仿宋" w:hint="eastAsia"/>
          <w:sz w:val="28"/>
          <w:szCs w:val="28"/>
        </w:rPr>
        <w:t>“四个最严”和“</w:t>
      </w:r>
      <w:r w:rsidR="00463D81" w:rsidRPr="000D2FCD">
        <w:rPr>
          <w:rFonts w:ascii="仿宋" w:eastAsia="仿宋" w:hAnsi="仿宋" w:hint="eastAsia"/>
          <w:sz w:val="28"/>
          <w:szCs w:val="28"/>
        </w:rPr>
        <w:t>放管服</w:t>
      </w:r>
      <w:r w:rsidR="00463D81">
        <w:rPr>
          <w:rFonts w:ascii="仿宋" w:eastAsia="仿宋" w:hAnsi="仿宋" w:hint="eastAsia"/>
          <w:sz w:val="28"/>
          <w:szCs w:val="28"/>
        </w:rPr>
        <w:t>”要求，</w:t>
      </w:r>
      <w:r w:rsidRPr="000D2FCD">
        <w:rPr>
          <w:rFonts w:ascii="仿宋" w:eastAsia="仿宋" w:hAnsi="仿宋" w:hint="eastAsia"/>
          <w:sz w:val="28"/>
          <w:szCs w:val="28"/>
        </w:rPr>
        <w:t>加强生物制品全生命周期的管理，</w:t>
      </w:r>
      <w:r w:rsidR="00463D81" w:rsidRPr="000D2FCD">
        <w:rPr>
          <w:rFonts w:ascii="仿宋" w:eastAsia="仿宋" w:hAnsi="仿宋" w:hint="eastAsia"/>
          <w:sz w:val="28"/>
          <w:szCs w:val="28"/>
        </w:rPr>
        <w:t>保证生物制品的安全性及可及性，</w:t>
      </w:r>
      <w:r w:rsidRPr="000D2FCD">
        <w:rPr>
          <w:rFonts w:ascii="仿宋" w:eastAsia="仿宋" w:hAnsi="仿宋" w:hint="eastAsia"/>
          <w:sz w:val="28"/>
          <w:szCs w:val="28"/>
        </w:rPr>
        <w:t>指导生物制品上市许可持有人</w:t>
      </w:r>
      <w:r w:rsidR="00FD57E5">
        <w:rPr>
          <w:rFonts w:ascii="仿宋" w:eastAsia="仿宋" w:hAnsi="仿宋" w:hint="eastAsia"/>
          <w:sz w:val="28"/>
          <w:szCs w:val="28"/>
        </w:rPr>
        <w:t>（以下简称持有人）</w:t>
      </w:r>
      <w:r w:rsidRPr="000D2FCD">
        <w:rPr>
          <w:rFonts w:ascii="仿宋" w:eastAsia="仿宋" w:hAnsi="仿宋" w:hint="eastAsia"/>
          <w:sz w:val="28"/>
          <w:szCs w:val="28"/>
        </w:rPr>
        <w:t>开展已上市生物制品的变更研究，不断优化和改进工艺</w:t>
      </w:r>
      <w:r w:rsidR="00FD57E5">
        <w:rPr>
          <w:rFonts w:ascii="仿宋" w:eastAsia="仿宋" w:hAnsi="仿宋" w:hint="eastAsia"/>
          <w:sz w:val="28"/>
          <w:szCs w:val="28"/>
        </w:rPr>
        <w:t>，</w:t>
      </w:r>
      <w:r w:rsidR="00463D81" w:rsidRPr="000D2FCD">
        <w:rPr>
          <w:rFonts w:ascii="仿宋" w:eastAsia="仿宋" w:hAnsi="仿宋" w:hint="eastAsia"/>
          <w:sz w:val="28"/>
          <w:szCs w:val="28"/>
        </w:rPr>
        <w:t>同时不断完善我国生物制品技术指南体系建设，为</w:t>
      </w:r>
      <w:r w:rsidRPr="000D2FCD">
        <w:rPr>
          <w:rFonts w:ascii="仿宋" w:eastAsia="仿宋" w:hAnsi="仿宋" w:hint="eastAsia"/>
          <w:sz w:val="28"/>
          <w:szCs w:val="28"/>
        </w:rPr>
        <w:t>生物制品审评人员奠定原则性的、可供借鉴的评价标准和基础</w:t>
      </w:r>
      <w:r w:rsidR="000D5B1E" w:rsidRPr="000D2FCD">
        <w:rPr>
          <w:rFonts w:ascii="仿宋" w:eastAsia="仿宋" w:hAnsi="仿宋" w:hint="eastAsia"/>
          <w:sz w:val="28"/>
          <w:szCs w:val="28"/>
        </w:rPr>
        <w:t>，制定本技术指导原则。</w:t>
      </w:r>
    </w:p>
    <w:p w14:paraId="10EA9329" w14:textId="77777777" w:rsidR="005C0C61" w:rsidRPr="000D2FCD" w:rsidRDefault="005C0C61" w:rsidP="005C0C61">
      <w:pPr>
        <w:spacing w:line="360" w:lineRule="auto"/>
        <w:ind w:firstLineChars="200" w:firstLine="562"/>
        <w:jc w:val="left"/>
        <w:rPr>
          <w:rFonts w:ascii="仿宋" w:eastAsia="仿宋" w:hAnsi="仿宋"/>
          <w:b/>
          <w:sz w:val="28"/>
          <w:szCs w:val="28"/>
        </w:rPr>
      </w:pPr>
      <w:r w:rsidRPr="000D2FCD">
        <w:rPr>
          <w:rFonts w:ascii="仿宋" w:eastAsia="仿宋" w:hAnsi="仿宋" w:hint="eastAsia"/>
          <w:b/>
          <w:sz w:val="28"/>
          <w:szCs w:val="28"/>
        </w:rPr>
        <w:t>二、定位</w:t>
      </w:r>
    </w:p>
    <w:p w14:paraId="121C352F" w14:textId="77777777" w:rsidR="005C0C61" w:rsidRPr="000D2FCD" w:rsidRDefault="005C0C61" w:rsidP="005C0C61">
      <w:pPr>
        <w:spacing w:line="360" w:lineRule="auto"/>
        <w:ind w:firstLineChars="200" w:firstLine="560"/>
        <w:jc w:val="left"/>
        <w:rPr>
          <w:rFonts w:ascii="仿宋" w:eastAsia="仿宋" w:hAnsi="仿宋"/>
          <w:sz w:val="28"/>
          <w:szCs w:val="28"/>
        </w:rPr>
      </w:pPr>
      <w:r w:rsidRPr="000D2FCD">
        <w:rPr>
          <w:rFonts w:ascii="仿宋" w:eastAsia="仿宋" w:hAnsi="仿宋" w:hint="eastAsia"/>
          <w:sz w:val="28"/>
          <w:szCs w:val="28"/>
        </w:rPr>
        <w:t>本指导原则以国家颁布的相关法律、法规及技术指导原则为基础，立足国内生物制品上市后变更的发展现状，借鉴发达国家的先进管理理念，结合国内外相关法规和技术要求，本着科学性、可操作性、前瞻性和先进性相结合原则起草。</w:t>
      </w:r>
    </w:p>
    <w:p w14:paraId="5F3102C5" w14:textId="1DAFE411" w:rsidR="005C0C61" w:rsidRPr="000D2FCD" w:rsidRDefault="005C0C61" w:rsidP="005C0C61">
      <w:pPr>
        <w:spacing w:line="360" w:lineRule="auto"/>
        <w:ind w:firstLineChars="200" w:firstLine="560"/>
        <w:jc w:val="left"/>
        <w:rPr>
          <w:rFonts w:ascii="仿宋" w:eastAsia="仿宋" w:hAnsi="仿宋"/>
          <w:sz w:val="28"/>
          <w:szCs w:val="28"/>
        </w:rPr>
      </w:pPr>
      <w:r w:rsidRPr="000D2FCD">
        <w:rPr>
          <w:rFonts w:ascii="仿宋" w:eastAsia="仿宋" w:hAnsi="仿宋" w:hint="eastAsia"/>
          <w:sz w:val="28"/>
          <w:szCs w:val="28"/>
        </w:rPr>
        <w:t>本指导原则仅从技术角度阐述对生物制品</w:t>
      </w:r>
      <w:r w:rsidR="000E5559">
        <w:rPr>
          <w:rFonts w:ascii="仿宋" w:eastAsia="仿宋" w:hAnsi="仿宋" w:hint="eastAsia"/>
          <w:sz w:val="28"/>
          <w:szCs w:val="28"/>
        </w:rPr>
        <w:t>药学</w:t>
      </w:r>
      <w:r w:rsidRPr="000D2FCD">
        <w:rPr>
          <w:rFonts w:ascii="仿宋" w:eastAsia="仿宋" w:hAnsi="仿宋" w:hint="eastAsia"/>
          <w:sz w:val="28"/>
          <w:szCs w:val="28"/>
        </w:rPr>
        <w:t>变更时应进行的相关研究验证工作，适用于指导生物制品上市许可</w:t>
      </w:r>
      <w:r w:rsidR="00D32515">
        <w:rPr>
          <w:rFonts w:ascii="仿宋" w:eastAsia="仿宋" w:hAnsi="仿宋" w:hint="eastAsia"/>
          <w:sz w:val="28"/>
          <w:szCs w:val="28"/>
        </w:rPr>
        <w:t>持有人或者生产企业开展生物制品上市后的</w:t>
      </w:r>
      <w:r w:rsidR="000E5559">
        <w:rPr>
          <w:rFonts w:ascii="仿宋" w:eastAsia="仿宋" w:hAnsi="仿宋" w:hint="eastAsia"/>
          <w:sz w:val="28"/>
          <w:szCs w:val="28"/>
        </w:rPr>
        <w:t>药学</w:t>
      </w:r>
      <w:r w:rsidR="00D32515">
        <w:rPr>
          <w:rFonts w:ascii="仿宋" w:eastAsia="仿宋" w:hAnsi="仿宋" w:hint="eastAsia"/>
          <w:sz w:val="28"/>
          <w:szCs w:val="28"/>
        </w:rPr>
        <w:t>变更研究。本技术指导原则</w:t>
      </w:r>
      <w:r w:rsidRPr="000D2FCD">
        <w:rPr>
          <w:rFonts w:ascii="仿宋" w:eastAsia="仿宋" w:hAnsi="仿宋" w:hint="eastAsia"/>
          <w:sz w:val="28"/>
          <w:szCs w:val="28"/>
        </w:rPr>
        <w:t>是原则</w:t>
      </w:r>
      <w:r w:rsidRPr="000D2FCD">
        <w:rPr>
          <w:rFonts w:ascii="仿宋" w:eastAsia="仿宋" w:hAnsi="仿宋" w:hint="eastAsia"/>
          <w:sz w:val="28"/>
          <w:szCs w:val="28"/>
        </w:rPr>
        <w:lastRenderedPageBreak/>
        <w:t>性指导，而并非强制性规定，即并非必须遵守的要求，仅反映现阶段生物制品技术审评对这个技术专题的一般性认识、观点和建议。生物制品变更情况复杂多样且不断发展变化，应具体问题具体分析，在充分</w:t>
      </w:r>
      <w:r w:rsidR="000E5559" w:rsidRPr="000D2FCD">
        <w:rPr>
          <w:rFonts w:ascii="仿宋" w:eastAsia="仿宋" w:hAnsi="仿宋" w:hint="eastAsia"/>
          <w:sz w:val="28"/>
          <w:szCs w:val="28"/>
        </w:rPr>
        <w:t>进行</w:t>
      </w:r>
      <w:r w:rsidRPr="000D2FCD">
        <w:rPr>
          <w:rFonts w:ascii="仿宋" w:eastAsia="仿宋" w:hAnsi="仿宋" w:hint="eastAsia"/>
          <w:sz w:val="28"/>
          <w:szCs w:val="28"/>
        </w:rPr>
        <w:t>变更研究</w:t>
      </w:r>
      <w:r w:rsidR="000E5559">
        <w:rPr>
          <w:rFonts w:ascii="仿宋" w:eastAsia="仿宋" w:hAnsi="仿宋" w:hint="eastAsia"/>
          <w:sz w:val="28"/>
          <w:szCs w:val="28"/>
        </w:rPr>
        <w:t>和</w:t>
      </w:r>
      <w:r w:rsidRPr="000D2FCD">
        <w:rPr>
          <w:rFonts w:ascii="仿宋" w:eastAsia="仿宋" w:hAnsi="仿宋" w:hint="eastAsia"/>
          <w:sz w:val="28"/>
          <w:szCs w:val="28"/>
        </w:rPr>
        <w:t>风险评估的基础上实施变更尤其重要。</w:t>
      </w:r>
    </w:p>
    <w:p w14:paraId="76443055" w14:textId="77777777" w:rsidR="005C0C61" w:rsidRPr="000D2FCD" w:rsidRDefault="005C0C61" w:rsidP="005C0C61">
      <w:pPr>
        <w:spacing w:line="360" w:lineRule="auto"/>
        <w:ind w:firstLineChars="200" w:firstLine="562"/>
        <w:jc w:val="left"/>
        <w:rPr>
          <w:rFonts w:ascii="仿宋" w:eastAsia="仿宋" w:hAnsi="仿宋"/>
          <w:b/>
          <w:sz w:val="28"/>
          <w:szCs w:val="28"/>
        </w:rPr>
      </w:pPr>
      <w:r w:rsidRPr="000D2FCD">
        <w:rPr>
          <w:rFonts w:ascii="仿宋" w:eastAsia="仿宋" w:hAnsi="仿宋" w:hint="eastAsia"/>
          <w:b/>
          <w:sz w:val="28"/>
          <w:szCs w:val="28"/>
        </w:rPr>
        <w:t>三、适用范围</w:t>
      </w:r>
      <w:r w:rsidRPr="000D2FCD">
        <w:rPr>
          <w:rFonts w:ascii="仿宋" w:eastAsia="仿宋" w:hAnsi="仿宋"/>
          <w:b/>
          <w:sz w:val="28"/>
          <w:szCs w:val="28"/>
        </w:rPr>
        <w:t xml:space="preserve"> </w:t>
      </w:r>
    </w:p>
    <w:p w14:paraId="30FF14E1" w14:textId="77777777" w:rsidR="00B16C8F" w:rsidRDefault="005C0C61" w:rsidP="005C0C61">
      <w:pPr>
        <w:spacing w:line="360" w:lineRule="auto"/>
        <w:ind w:firstLineChars="200" w:firstLine="560"/>
        <w:jc w:val="left"/>
        <w:rPr>
          <w:rFonts w:ascii="仿宋" w:eastAsia="仿宋" w:hAnsi="仿宋"/>
          <w:sz w:val="28"/>
          <w:szCs w:val="28"/>
        </w:rPr>
      </w:pPr>
      <w:r w:rsidRPr="000D2FCD">
        <w:rPr>
          <w:rFonts w:ascii="仿宋" w:eastAsia="仿宋" w:hAnsi="仿宋" w:hint="eastAsia"/>
          <w:sz w:val="28"/>
          <w:szCs w:val="28"/>
        </w:rPr>
        <w:t>本指导原则与药品审评中心现实的生物制品技术审评职责相衔接，包括</w:t>
      </w:r>
      <w:r w:rsidR="00B16C8F" w:rsidRPr="00B16C8F">
        <w:rPr>
          <w:rFonts w:ascii="仿宋" w:eastAsia="仿宋" w:hAnsi="仿宋" w:hint="eastAsia"/>
          <w:sz w:val="28"/>
          <w:szCs w:val="28"/>
        </w:rPr>
        <w:t>疫苗、血液制品、生物技术产品和按药品管理的体外诊断试剂等，基因和细胞治疗产品也可供参考。</w:t>
      </w:r>
    </w:p>
    <w:p w14:paraId="491DAA30" w14:textId="77777777" w:rsidR="00342BD5" w:rsidRPr="00342BD5" w:rsidRDefault="00342BD5" w:rsidP="00342BD5">
      <w:pPr>
        <w:spacing w:line="360" w:lineRule="auto"/>
        <w:ind w:firstLineChars="200" w:firstLine="562"/>
        <w:jc w:val="left"/>
        <w:rPr>
          <w:rFonts w:ascii="仿宋" w:eastAsia="仿宋" w:hAnsi="仿宋"/>
          <w:b/>
          <w:sz w:val="28"/>
          <w:szCs w:val="28"/>
        </w:rPr>
      </w:pPr>
      <w:r w:rsidRPr="00342BD5">
        <w:rPr>
          <w:rFonts w:ascii="仿宋" w:eastAsia="仿宋" w:hAnsi="仿宋" w:hint="eastAsia"/>
          <w:b/>
          <w:sz w:val="28"/>
          <w:szCs w:val="28"/>
        </w:rPr>
        <w:t>四、与其它生物制品指导原则的关联性</w:t>
      </w:r>
    </w:p>
    <w:p w14:paraId="1216D659" w14:textId="77777777" w:rsidR="00342BD5" w:rsidRPr="000D2FCD" w:rsidRDefault="00342BD5" w:rsidP="00342BD5">
      <w:pPr>
        <w:spacing w:line="360" w:lineRule="auto"/>
        <w:ind w:firstLineChars="200" w:firstLine="560"/>
        <w:jc w:val="left"/>
        <w:rPr>
          <w:rFonts w:ascii="仿宋" w:eastAsia="仿宋" w:hAnsi="仿宋"/>
          <w:sz w:val="28"/>
          <w:szCs w:val="28"/>
        </w:rPr>
      </w:pPr>
      <w:r w:rsidRPr="00342BD5">
        <w:rPr>
          <w:rFonts w:ascii="仿宋" w:eastAsia="仿宋" w:hAnsi="仿宋" w:hint="eastAsia"/>
          <w:sz w:val="28"/>
          <w:szCs w:val="28"/>
        </w:rPr>
        <w:t>本指导原则与已颁布、实施的相关指导原则从原则角度考虑并无明显冲突，且更全面和深入，更具有指导意义，但具体实施方法需参考、遵循相关指导原则。相对于目前正在修订的《疫苗上市后工艺变更技术指导原则》，本指导原则对于工艺变更的分类和技术要求基本一致，但包含的变更范围更广（如含质量标准变更），疫苗工艺方面变更详细分类指导请参见《疫苗上市后工艺变更技术指导原则》。</w:t>
      </w:r>
    </w:p>
    <w:p w14:paraId="21675385" w14:textId="15959E86" w:rsidR="000D5B1E" w:rsidRPr="000D2FCD" w:rsidRDefault="00342BD5" w:rsidP="005C0C61">
      <w:pPr>
        <w:spacing w:line="360" w:lineRule="auto"/>
        <w:ind w:firstLineChars="200" w:firstLine="562"/>
        <w:jc w:val="left"/>
        <w:rPr>
          <w:rFonts w:ascii="仿宋" w:eastAsia="仿宋" w:hAnsi="仿宋"/>
          <w:b/>
          <w:sz w:val="28"/>
          <w:szCs w:val="28"/>
        </w:rPr>
      </w:pPr>
      <w:r>
        <w:rPr>
          <w:rFonts w:ascii="仿宋" w:eastAsia="仿宋" w:hAnsi="仿宋" w:hint="eastAsia"/>
          <w:b/>
          <w:sz w:val="28"/>
          <w:szCs w:val="28"/>
        </w:rPr>
        <w:t>五</w:t>
      </w:r>
      <w:r w:rsidR="000D5B1E" w:rsidRPr="000D2FCD">
        <w:rPr>
          <w:rFonts w:ascii="仿宋" w:eastAsia="仿宋" w:hAnsi="仿宋" w:hint="eastAsia"/>
          <w:b/>
          <w:sz w:val="28"/>
          <w:szCs w:val="28"/>
        </w:rPr>
        <w:t>、起草和修订经过</w:t>
      </w:r>
    </w:p>
    <w:p w14:paraId="13FBD3A9" w14:textId="3797F360" w:rsidR="00BB5A7B" w:rsidRPr="000D2FCD" w:rsidRDefault="005C0C61" w:rsidP="00776F31">
      <w:pPr>
        <w:spacing w:line="360" w:lineRule="auto"/>
        <w:ind w:firstLineChars="200" w:firstLine="560"/>
        <w:rPr>
          <w:rFonts w:ascii="仿宋" w:eastAsia="仿宋" w:hAnsi="仿宋"/>
          <w:sz w:val="28"/>
          <w:szCs w:val="28"/>
        </w:rPr>
      </w:pPr>
      <w:r w:rsidRPr="000D2FCD">
        <w:rPr>
          <w:rFonts w:ascii="仿宋" w:eastAsia="仿宋" w:hAnsi="仿宋" w:hint="eastAsia"/>
          <w:sz w:val="28"/>
          <w:szCs w:val="28"/>
        </w:rPr>
        <w:t>本指导原则在起草之初，参考了国内外相关指导原则，成稿后先后通过召开</w:t>
      </w:r>
      <w:r w:rsidR="00776F31">
        <w:rPr>
          <w:rFonts w:ascii="仿宋" w:eastAsia="仿宋" w:hAnsi="仿宋" w:hint="eastAsia"/>
          <w:sz w:val="28"/>
          <w:szCs w:val="28"/>
        </w:rPr>
        <w:t>两次</w:t>
      </w:r>
      <w:r w:rsidRPr="000D2FCD">
        <w:rPr>
          <w:rFonts w:ascii="仿宋" w:eastAsia="仿宋" w:hAnsi="仿宋" w:hint="eastAsia"/>
          <w:sz w:val="28"/>
          <w:szCs w:val="28"/>
        </w:rPr>
        <w:t>业界专家咨询会</w:t>
      </w:r>
      <w:r w:rsidR="00776F31">
        <w:rPr>
          <w:rFonts w:ascii="仿宋" w:eastAsia="仿宋" w:hAnsi="仿宋" w:hint="eastAsia"/>
          <w:sz w:val="28"/>
          <w:szCs w:val="28"/>
        </w:rPr>
        <w:t>和一次</w:t>
      </w:r>
      <w:r w:rsidRPr="000D2FCD">
        <w:rPr>
          <w:rFonts w:ascii="仿宋" w:eastAsia="仿宋" w:hAnsi="仿宋" w:hint="eastAsia"/>
          <w:sz w:val="28"/>
          <w:szCs w:val="28"/>
        </w:rPr>
        <w:t>网上公开征求意见，</w:t>
      </w:r>
      <w:r w:rsidR="00D421F8" w:rsidRPr="00D421F8">
        <w:rPr>
          <w:rFonts w:ascii="仿宋" w:eastAsia="仿宋" w:hAnsi="仿宋" w:hint="eastAsia"/>
          <w:sz w:val="28"/>
          <w:szCs w:val="28"/>
        </w:rPr>
        <w:t>广泛</w:t>
      </w:r>
      <w:r w:rsidR="00D421F8">
        <w:rPr>
          <w:rFonts w:ascii="仿宋" w:eastAsia="仿宋" w:hAnsi="仿宋" w:hint="eastAsia"/>
          <w:sz w:val="28"/>
          <w:szCs w:val="28"/>
        </w:rPr>
        <w:t>听取</w:t>
      </w:r>
      <w:r w:rsidR="00D421F8" w:rsidRPr="00D421F8">
        <w:rPr>
          <w:rFonts w:ascii="仿宋" w:eastAsia="仿宋" w:hAnsi="仿宋" w:hint="eastAsia"/>
          <w:sz w:val="28"/>
          <w:szCs w:val="28"/>
        </w:rPr>
        <w:t>业界意见，</w:t>
      </w:r>
      <w:r w:rsidRPr="000D2FCD">
        <w:rPr>
          <w:rFonts w:ascii="仿宋" w:eastAsia="仿宋" w:hAnsi="仿宋" w:hint="eastAsia"/>
          <w:sz w:val="28"/>
          <w:szCs w:val="28"/>
        </w:rPr>
        <w:t xml:space="preserve">先后收集了 </w:t>
      </w:r>
      <w:r w:rsidR="00BB5A7B" w:rsidRPr="000D2FCD">
        <w:rPr>
          <w:rFonts w:ascii="仿宋" w:eastAsia="仿宋" w:hAnsi="仿宋"/>
          <w:sz w:val="28"/>
          <w:szCs w:val="28"/>
        </w:rPr>
        <w:t>20</w:t>
      </w:r>
      <w:r w:rsidR="00BB5A7B" w:rsidRPr="000D2FCD">
        <w:rPr>
          <w:rFonts w:ascii="仿宋" w:eastAsia="仿宋" w:hAnsi="仿宋" w:hint="eastAsia"/>
          <w:sz w:val="28"/>
          <w:szCs w:val="28"/>
        </w:rPr>
        <w:t>多</w:t>
      </w:r>
      <w:r w:rsidR="00BB5A7B" w:rsidRPr="000D2FCD">
        <w:rPr>
          <w:rFonts w:ascii="仿宋" w:eastAsia="仿宋" w:hAnsi="仿宋"/>
          <w:sz w:val="28"/>
          <w:szCs w:val="28"/>
        </w:rPr>
        <w:t>家中外生物制品生产企业的</w:t>
      </w:r>
      <w:r w:rsidR="00776F31">
        <w:rPr>
          <w:rFonts w:ascii="仿宋" w:eastAsia="仿宋" w:hAnsi="仿宋"/>
          <w:sz w:val="28"/>
          <w:szCs w:val="28"/>
        </w:rPr>
        <w:t>300</w:t>
      </w:r>
      <w:r w:rsidR="00776F31">
        <w:rPr>
          <w:rFonts w:ascii="仿宋" w:eastAsia="仿宋" w:hAnsi="仿宋" w:hint="eastAsia"/>
          <w:sz w:val="28"/>
          <w:szCs w:val="28"/>
        </w:rPr>
        <w:t>多</w:t>
      </w:r>
      <w:r w:rsidR="00BB5A7B" w:rsidRPr="000D2FCD">
        <w:rPr>
          <w:rFonts w:ascii="仿宋" w:eastAsia="仿宋" w:hAnsi="仿宋"/>
          <w:sz w:val="28"/>
          <w:szCs w:val="28"/>
        </w:rPr>
        <w:t>条（项）意见</w:t>
      </w:r>
      <w:r w:rsidR="00BB5A7B" w:rsidRPr="000D2FCD">
        <w:rPr>
          <w:rFonts w:ascii="仿宋" w:eastAsia="仿宋" w:hAnsi="仿宋" w:hint="eastAsia"/>
          <w:sz w:val="28"/>
          <w:szCs w:val="28"/>
        </w:rPr>
        <w:t>，并对意见逐条</w:t>
      </w:r>
      <w:r w:rsidR="008236AD">
        <w:rPr>
          <w:rFonts w:ascii="仿宋" w:eastAsia="仿宋" w:hAnsi="仿宋" w:hint="eastAsia"/>
          <w:sz w:val="28"/>
          <w:szCs w:val="28"/>
        </w:rPr>
        <w:t>梳理，</w:t>
      </w:r>
      <w:r w:rsidR="00BB5A7B" w:rsidRPr="000D2FCD">
        <w:rPr>
          <w:rFonts w:ascii="仿宋" w:eastAsia="仿宋" w:hAnsi="仿宋" w:hint="eastAsia"/>
          <w:sz w:val="28"/>
          <w:szCs w:val="28"/>
        </w:rPr>
        <w:t>提出了初步处理建议和理由。鉴于指导原则修订过程中，药品监管领域的一系列</w:t>
      </w:r>
      <w:r w:rsidR="0046173F">
        <w:rPr>
          <w:rFonts w:ascii="仿宋" w:eastAsia="仿宋" w:hAnsi="仿宋" w:hint="eastAsia"/>
          <w:sz w:val="28"/>
          <w:szCs w:val="28"/>
        </w:rPr>
        <w:t>法律法规</w:t>
      </w:r>
      <w:r w:rsidR="00BB5A7B" w:rsidRPr="000D2FCD">
        <w:rPr>
          <w:rFonts w:ascii="仿宋" w:eastAsia="仿宋" w:hAnsi="仿宋" w:hint="eastAsia"/>
          <w:sz w:val="28"/>
          <w:szCs w:val="28"/>
        </w:rPr>
        <w:t>也在不断修订</w:t>
      </w:r>
      <w:r w:rsidR="00BB5A7B" w:rsidRPr="000D2FCD">
        <w:rPr>
          <w:rFonts w:ascii="仿宋" w:eastAsia="仿宋" w:hAnsi="仿宋" w:hint="eastAsia"/>
          <w:sz w:val="28"/>
          <w:szCs w:val="28"/>
        </w:rPr>
        <w:lastRenderedPageBreak/>
        <w:t>过程，因此本指导原则也根据上位法规定进行不断修订。此外，在第一次上网征求意见之后，</w:t>
      </w:r>
      <w:r w:rsidR="00F413BD">
        <w:rPr>
          <w:rFonts w:ascii="仿宋" w:eastAsia="仿宋" w:hAnsi="仿宋" w:hint="eastAsia"/>
          <w:sz w:val="28"/>
          <w:szCs w:val="28"/>
        </w:rPr>
        <w:t>起草小组</w:t>
      </w:r>
      <w:r w:rsidR="008236AD">
        <w:rPr>
          <w:rFonts w:ascii="仿宋" w:eastAsia="仿宋" w:hAnsi="仿宋" w:hint="eastAsia"/>
          <w:sz w:val="28"/>
          <w:szCs w:val="28"/>
        </w:rPr>
        <w:t>在实际审评中也</w:t>
      </w:r>
      <w:r w:rsidR="00647337">
        <w:rPr>
          <w:rFonts w:ascii="仿宋" w:eastAsia="仿宋" w:hAnsi="仿宋" w:hint="eastAsia"/>
          <w:sz w:val="28"/>
          <w:szCs w:val="28"/>
        </w:rPr>
        <w:t>结合了反馈意见</w:t>
      </w:r>
      <w:r w:rsidR="00BB5A7B" w:rsidRPr="000D2FCD">
        <w:rPr>
          <w:rFonts w:ascii="仿宋" w:eastAsia="仿宋" w:hAnsi="仿宋" w:hint="eastAsia"/>
          <w:sz w:val="28"/>
          <w:szCs w:val="28"/>
        </w:rPr>
        <w:t>，</w:t>
      </w:r>
      <w:r w:rsidR="00647337">
        <w:rPr>
          <w:rFonts w:ascii="仿宋" w:eastAsia="仿宋" w:hAnsi="仿宋" w:hint="eastAsia"/>
          <w:sz w:val="28"/>
          <w:szCs w:val="28"/>
        </w:rPr>
        <w:t>进一步</w:t>
      </w:r>
      <w:r w:rsidR="00BB5A7B" w:rsidRPr="000D2FCD">
        <w:rPr>
          <w:rFonts w:ascii="仿宋" w:eastAsia="仿宋" w:hAnsi="仿宋" w:hint="eastAsia"/>
          <w:sz w:val="28"/>
          <w:szCs w:val="28"/>
        </w:rPr>
        <w:t>检验本指导原则的实际指导意义。</w:t>
      </w:r>
    </w:p>
    <w:p w14:paraId="722AD8E5" w14:textId="60FD7A17" w:rsidR="00BB5A7B" w:rsidRPr="000D2FCD" w:rsidRDefault="00342BD5" w:rsidP="00F576EC">
      <w:pPr>
        <w:spacing w:line="360" w:lineRule="auto"/>
        <w:ind w:firstLineChars="200" w:firstLine="562"/>
        <w:jc w:val="left"/>
        <w:rPr>
          <w:rFonts w:ascii="仿宋" w:eastAsia="仿宋" w:hAnsi="仿宋"/>
          <w:b/>
          <w:sz w:val="28"/>
          <w:szCs w:val="28"/>
        </w:rPr>
      </w:pPr>
      <w:r>
        <w:rPr>
          <w:rFonts w:ascii="仿宋" w:eastAsia="仿宋" w:hAnsi="仿宋" w:hint="eastAsia"/>
          <w:b/>
          <w:sz w:val="28"/>
          <w:szCs w:val="28"/>
        </w:rPr>
        <w:t>六</w:t>
      </w:r>
      <w:r w:rsidR="00BB5A7B" w:rsidRPr="000D2FCD">
        <w:rPr>
          <w:rFonts w:ascii="仿宋" w:eastAsia="仿宋" w:hAnsi="仿宋" w:hint="eastAsia"/>
          <w:b/>
          <w:sz w:val="28"/>
          <w:szCs w:val="28"/>
        </w:rPr>
        <w:t>、主要</w:t>
      </w:r>
      <w:r>
        <w:rPr>
          <w:rFonts w:ascii="仿宋" w:eastAsia="仿宋" w:hAnsi="仿宋" w:hint="eastAsia"/>
          <w:b/>
          <w:sz w:val="28"/>
          <w:szCs w:val="28"/>
        </w:rPr>
        <w:t>修订内容</w:t>
      </w:r>
    </w:p>
    <w:p w14:paraId="70CFBD41" w14:textId="77777777" w:rsidR="00BB5A7B" w:rsidRPr="000D2FCD" w:rsidRDefault="00BB5A7B" w:rsidP="00BB5A7B">
      <w:pPr>
        <w:spacing w:line="360" w:lineRule="auto"/>
        <w:ind w:firstLineChars="200" w:firstLine="560"/>
        <w:jc w:val="left"/>
        <w:rPr>
          <w:rFonts w:ascii="仿宋" w:eastAsia="仿宋" w:hAnsi="仿宋"/>
          <w:sz w:val="28"/>
          <w:szCs w:val="28"/>
        </w:rPr>
      </w:pPr>
      <w:r w:rsidRPr="000D2FCD">
        <w:rPr>
          <w:rFonts w:ascii="仿宋" w:eastAsia="仿宋" w:hAnsi="仿宋" w:hint="eastAsia"/>
          <w:sz w:val="28"/>
          <w:szCs w:val="28"/>
        </w:rPr>
        <w:t>起草小组对历次收集的意见进行了汇总，现将主要问题及其修订情况进行说明：</w:t>
      </w:r>
    </w:p>
    <w:p w14:paraId="6C9C4E63" w14:textId="54BCF4FE" w:rsidR="00360D6B" w:rsidRPr="007B5C43" w:rsidRDefault="007B5C43" w:rsidP="007B5C43">
      <w:pPr>
        <w:spacing w:line="360" w:lineRule="auto"/>
        <w:ind w:firstLineChars="200" w:firstLine="562"/>
        <w:jc w:val="left"/>
        <w:rPr>
          <w:rFonts w:ascii="仿宋" w:eastAsia="仿宋" w:hAnsi="仿宋"/>
          <w:b/>
          <w:sz w:val="28"/>
          <w:szCs w:val="28"/>
        </w:rPr>
      </w:pPr>
      <w:r>
        <w:rPr>
          <w:rFonts w:ascii="仿宋" w:eastAsia="仿宋" w:hAnsi="仿宋" w:hint="eastAsia"/>
          <w:b/>
          <w:sz w:val="28"/>
          <w:szCs w:val="28"/>
        </w:rPr>
        <w:t>（一</w:t>
      </w:r>
      <w:r>
        <w:rPr>
          <w:rFonts w:ascii="仿宋" w:eastAsia="仿宋" w:hAnsi="仿宋"/>
          <w:b/>
          <w:sz w:val="28"/>
          <w:szCs w:val="28"/>
        </w:rPr>
        <w:t>）</w:t>
      </w:r>
      <w:r w:rsidR="00360D6B" w:rsidRPr="007B5C43">
        <w:rPr>
          <w:rFonts w:ascii="仿宋" w:eastAsia="仿宋" w:hAnsi="仿宋" w:hint="eastAsia"/>
          <w:b/>
          <w:sz w:val="28"/>
          <w:szCs w:val="28"/>
        </w:rPr>
        <w:t>变更分类</w:t>
      </w:r>
    </w:p>
    <w:p w14:paraId="43781BD5" w14:textId="0A5F2C21" w:rsidR="00CD7355" w:rsidRPr="00451C54" w:rsidRDefault="00451C54" w:rsidP="00CD7355">
      <w:pPr>
        <w:spacing w:line="360" w:lineRule="auto"/>
        <w:ind w:firstLineChars="200" w:firstLine="560"/>
        <w:jc w:val="left"/>
        <w:rPr>
          <w:rFonts w:ascii="仿宋" w:eastAsia="仿宋" w:hAnsi="仿宋"/>
          <w:bCs/>
          <w:sz w:val="28"/>
          <w:szCs w:val="28"/>
        </w:rPr>
      </w:pPr>
      <w:r w:rsidRPr="00451C54">
        <w:rPr>
          <w:rFonts w:ascii="仿宋" w:eastAsia="仿宋" w:hAnsi="仿宋" w:hint="eastAsia"/>
          <w:bCs/>
          <w:sz w:val="28"/>
          <w:szCs w:val="28"/>
        </w:rPr>
        <w:t>本指导原则中对各变更事项风险评估分级</w:t>
      </w:r>
      <w:r>
        <w:rPr>
          <w:rFonts w:ascii="仿宋" w:eastAsia="仿宋" w:hAnsi="仿宋" w:hint="eastAsia"/>
          <w:bCs/>
          <w:sz w:val="28"/>
          <w:szCs w:val="28"/>
        </w:rPr>
        <w:t>是在基于科学和风险的基础上，按照</w:t>
      </w:r>
      <w:r w:rsidRPr="00451C54">
        <w:rPr>
          <w:rFonts w:ascii="仿宋" w:eastAsia="仿宋" w:hAnsi="仿宋"/>
          <w:bCs/>
          <w:sz w:val="28"/>
          <w:szCs w:val="28"/>
        </w:rPr>
        <w:t>2019年10月发布</w:t>
      </w:r>
      <w:r>
        <w:rPr>
          <w:rFonts w:ascii="仿宋" w:eastAsia="仿宋" w:hAnsi="仿宋" w:hint="eastAsia"/>
          <w:bCs/>
          <w:sz w:val="28"/>
          <w:szCs w:val="28"/>
        </w:rPr>
        <w:t>的</w:t>
      </w:r>
      <w:r w:rsidRPr="00451C54">
        <w:rPr>
          <w:rFonts w:ascii="仿宋" w:eastAsia="仿宋" w:hAnsi="仿宋"/>
          <w:bCs/>
          <w:sz w:val="28"/>
          <w:szCs w:val="28"/>
        </w:rPr>
        <w:t>《药品注册管理办法》（征求意见稿）</w:t>
      </w:r>
      <w:r>
        <w:rPr>
          <w:rFonts w:ascii="仿宋" w:eastAsia="仿宋" w:hAnsi="仿宋" w:hint="eastAsia"/>
          <w:bCs/>
          <w:sz w:val="28"/>
          <w:szCs w:val="28"/>
        </w:rPr>
        <w:t>分为三类，分类的过程中参考</w:t>
      </w:r>
      <w:r w:rsidRPr="00451C54">
        <w:rPr>
          <w:rFonts w:ascii="仿宋" w:eastAsia="仿宋" w:hAnsi="仿宋" w:hint="eastAsia"/>
          <w:bCs/>
          <w:sz w:val="28"/>
          <w:szCs w:val="28"/>
        </w:rPr>
        <w:t>了</w:t>
      </w:r>
      <w:r w:rsidRPr="00451C54">
        <w:rPr>
          <w:rFonts w:ascii="仿宋" w:eastAsia="仿宋" w:hAnsi="仿宋"/>
          <w:bCs/>
          <w:sz w:val="28"/>
          <w:szCs w:val="28"/>
        </w:rPr>
        <w:t>WHO、FDA、EMA等发布的</w:t>
      </w:r>
      <w:r w:rsidR="002A0BFC">
        <w:rPr>
          <w:rFonts w:ascii="仿宋" w:eastAsia="仿宋" w:hAnsi="仿宋" w:hint="eastAsia"/>
          <w:bCs/>
          <w:sz w:val="28"/>
          <w:szCs w:val="28"/>
        </w:rPr>
        <w:t>相关指导原则</w:t>
      </w:r>
      <w:r w:rsidRPr="00451C54">
        <w:rPr>
          <w:rFonts w:ascii="仿宋" w:eastAsia="仿宋" w:hAnsi="仿宋"/>
          <w:bCs/>
          <w:sz w:val="28"/>
          <w:szCs w:val="28"/>
        </w:rPr>
        <w:t>，因此原则上对各项变更事项的风险分级与国际共识保持一致。</w:t>
      </w:r>
      <w:r w:rsidR="00677A47">
        <w:rPr>
          <w:rFonts w:ascii="仿宋" w:eastAsia="仿宋" w:hAnsi="仿宋" w:hint="eastAsia"/>
          <w:bCs/>
          <w:sz w:val="28"/>
          <w:szCs w:val="28"/>
        </w:rPr>
        <w:t>为了便于国内企业参考，</w:t>
      </w:r>
      <w:r w:rsidR="00F413BD">
        <w:rPr>
          <w:rFonts w:ascii="仿宋" w:eastAsia="仿宋" w:hAnsi="仿宋" w:hint="eastAsia"/>
          <w:bCs/>
          <w:sz w:val="28"/>
          <w:szCs w:val="28"/>
        </w:rPr>
        <w:t>起草小组</w:t>
      </w:r>
      <w:r w:rsidR="00677A47">
        <w:rPr>
          <w:rFonts w:ascii="仿宋" w:eastAsia="仿宋" w:hAnsi="仿宋" w:hint="eastAsia"/>
          <w:bCs/>
          <w:sz w:val="28"/>
          <w:szCs w:val="28"/>
        </w:rPr>
        <w:t>在</w:t>
      </w:r>
      <w:r w:rsidRPr="00451C54">
        <w:rPr>
          <w:rFonts w:ascii="仿宋" w:eastAsia="仿宋" w:hAnsi="仿宋"/>
          <w:bCs/>
          <w:sz w:val="28"/>
          <w:szCs w:val="28"/>
        </w:rPr>
        <w:t>原</w:t>
      </w:r>
      <w:r w:rsidR="00677A47">
        <w:rPr>
          <w:rFonts w:ascii="仿宋" w:eastAsia="仿宋" w:hAnsi="仿宋" w:hint="eastAsia"/>
          <w:bCs/>
          <w:sz w:val="28"/>
          <w:szCs w:val="28"/>
        </w:rPr>
        <w:t>征求意见稿基础上</w:t>
      </w:r>
      <w:r w:rsidRPr="00451C54">
        <w:rPr>
          <w:rFonts w:ascii="仿宋" w:eastAsia="仿宋" w:hAnsi="仿宋"/>
          <w:bCs/>
          <w:sz w:val="28"/>
          <w:szCs w:val="28"/>
        </w:rPr>
        <w:t>通过设置前提条件对部分变更事项</w:t>
      </w:r>
      <w:r w:rsidR="002A0BFC">
        <w:rPr>
          <w:rFonts w:ascii="仿宋" w:eastAsia="仿宋" w:hAnsi="仿宋" w:hint="eastAsia"/>
          <w:bCs/>
          <w:sz w:val="28"/>
          <w:szCs w:val="28"/>
        </w:rPr>
        <w:t>的分类级别</w:t>
      </w:r>
      <w:r w:rsidRPr="00451C54">
        <w:rPr>
          <w:rFonts w:ascii="仿宋" w:eastAsia="仿宋" w:hAnsi="仿宋"/>
          <w:bCs/>
          <w:sz w:val="28"/>
          <w:szCs w:val="28"/>
        </w:rPr>
        <w:t>进</w:t>
      </w:r>
      <w:r w:rsidR="002A0BFC">
        <w:rPr>
          <w:rFonts w:ascii="仿宋" w:eastAsia="仿宋" w:hAnsi="仿宋" w:hint="eastAsia"/>
          <w:bCs/>
          <w:sz w:val="28"/>
          <w:szCs w:val="28"/>
        </w:rPr>
        <w:t>一步</w:t>
      </w:r>
      <w:r w:rsidRPr="00451C54">
        <w:rPr>
          <w:rFonts w:ascii="仿宋" w:eastAsia="仿宋" w:hAnsi="仿宋"/>
          <w:bCs/>
          <w:sz w:val="28"/>
          <w:szCs w:val="28"/>
        </w:rPr>
        <w:t>细化</w:t>
      </w:r>
      <w:r w:rsidR="002A0BFC">
        <w:rPr>
          <w:rFonts w:ascii="仿宋" w:eastAsia="仿宋" w:hAnsi="仿宋" w:hint="eastAsia"/>
          <w:bCs/>
          <w:sz w:val="28"/>
          <w:szCs w:val="28"/>
        </w:rPr>
        <w:t>。</w:t>
      </w:r>
      <w:r w:rsidR="00AE089E">
        <w:rPr>
          <w:rFonts w:ascii="仿宋" w:eastAsia="仿宋" w:hAnsi="仿宋" w:hint="eastAsia"/>
          <w:bCs/>
          <w:sz w:val="28"/>
          <w:szCs w:val="28"/>
        </w:rPr>
        <w:t>鉴于实际变更情形复杂，</w:t>
      </w:r>
      <w:r w:rsidR="00CD7355">
        <w:rPr>
          <w:rFonts w:ascii="仿宋" w:eastAsia="仿宋" w:hAnsi="仿宋" w:hint="eastAsia"/>
          <w:bCs/>
          <w:sz w:val="28"/>
          <w:szCs w:val="28"/>
        </w:rPr>
        <w:t>本指导原则不可能穷尽所有变更事项及分类，建议</w:t>
      </w:r>
      <w:r w:rsidR="008236AD">
        <w:rPr>
          <w:rFonts w:ascii="仿宋" w:eastAsia="仿宋" w:hAnsi="仿宋" w:hint="eastAsia"/>
          <w:bCs/>
          <w:sz w:val="28"/>
          <w:szCs w:val="28"/>
        </w:rPr>
        <w:t>申请人</w:t>
      </w:r>
      <w:r w:rsidR="00AE089E">
        <w:rPr>
          <w:rFonts w:ascii="仿宋" w:eastAsia="仿宋" w:hAnsi="仿宋" w:hint="eastAsia"/>
          <w:bCs/>
          <w:sz w:val="28"/>
          <w:szCs w:val="28"/>
        </w:rPr>
        <w:t>结合产品特点</w:t>
      </w:r>
      <w:r w:rsidR="008236AD">
        <w:rPr>
          <w:rFonts w:ascii="仿宋" w:eastAsia="仿宋" w:hAnsi="仿宋" w:hint="eastAsia"/>
          <w:bCs/>
          <w:sz w:val="28"/>
          <w:szCs w:val="28"/>
        </w:rPr>
        <w:t>以及</w:t>
      </w:r>
      <w:r w:rsidR="00AE089E">
        <w:rPr>
          <w:rFonts w:ascii="仿宋" w:eastAsia="仿宋" w:hAnsi="仿宋" w:hint="eastAsia"/>
          <w:bCs/>
          <w:sz w:val="28"/>
          <w:szCs w:val="28"/>
        </w:rPr>
        <w:t>变更</w:t>
      </w:r>
      <w:r w:rsidR="00CD7355">
        <w:rPr>
          <w:rFonts w:ascii="仿宋" w:eastAsia="仿宋" w:hAnsi="仿宋" w:hint="eastAsia"/>
          <w:bCs/>
          <w:sz w:val="28"/>
          <w:szCs w:val="28"/>
        </w:rPr>
        <w:t>对产品</w:t>
      </w:r>
      <w:r w:rsidR="00CD7355" w:rsidRPr="00CD7355">
        <w:rPr>
          <w:rFonts w:ascii="仿宋" w:eastAsia="仿宋" w:hAnsi="仿宋" w:hint="eastAsia"/>
          <w:bCs/>
          <w:sz w:val="28"/>
          <w:szCs w:val="28"/>
        </w:rPr>
        <w:t>安全性、有效性和质量可控性可能产生的影响和风险</w:t>
      </w:r>
      <w:r w:rsidR="00AE089E">
        <w:rPr>
          <w:rFonts w:ascii="仿宋" w:eastAsia="仿宋" w:hAnsi="仿宋" w:hint="eastAsia"/>
          <w:bCs/>
          <w:sz w:val="28"/>
          <w:szCs w:val="28"/>
        </w:rPr>
        <w:t>对变更级别进行合理分类</w:t>
      </w:r>
      <w:r w:rsidR="00CD7355" w:rsidRPr="00CD7355">
        <w:rPr>
          <w:rFonts w:ascii="仿宋" w:eastAsia="仿宋" w:hAnsi="仿宋" w:hint="eastAsia"/>
          <w:bCs/>
          <w:sz w:val="28"/>
          <w:szCs w:val="28"/>
        </w:rPr>
        <w:t>，然后按照程序进行申报、备案或报告。</w:t>
      </w:r>
      <w:r w:rsidR="00AE089E">
        <w:rPr>
          <w:rFonts w:ascii="仿宋" w:eastAsia="仿宋" w:hAnsi="仿宋" w:hint="eastAsia"/>
          <w:bCs/>
          <w:sz w:val="28"/>
          <w:szCs w:val="28"/>
        </w:rPr>
        <w:t>除了按照风险对变更进行三级分类外，申请人还应结合</w:t>
      </w:r>
      <w:r w:rsidR="008236AD" w:rsidRPr="008236AD">
        <w:rPr>
          <w:rFonts w:ascii="仿宋" w:eastAsia="仿宋" w:hAnsi="仿宋" w:hint="eastAsia"/>
          <w:bCs/>
          <w:sz w:val="28"/>
          <w:szCs w:val="28"/>
        </w:rPr>
        <w:t>药品生产质量管理规范</w:t>
      </w:r>
      <w:r w:rsidR="00AE089E">
        <w:rPr>
          <w:rFonts w:ascii="仿宋" w:eastAsia="仿宋" w:hAnsi="仿宋" w:hint="eastAsia"/>
          <w:bCs/>
          <w:sz w:val="28"/>
          <w:szCs w:val="28"/>
        </w:rPr>
        <w:t>（G</w:t>
      </w:r>
      <w:r w:rsidR="00AE089E">
        <w:rPr>
          <w:rFonts w:ascii="仿宋" w:eastAsia="仿宋" w:hAnsi="仿宋"/>
          <w:bCs/>
          <w:sz w:val="28"/>
          <w:szCs w:val="28"/>
        </w:rPr>
        <w:t>MP</w:t>
      </w:r>
      <w:r w:rsidR="00AE089E">
        <w:rPr>
          <w:rFonts w:ascii="仿宋" w:eastAsia="仿宋" w:hAnsi="仿宋" w:hint="eastAsia"/>
          <w:bCs/>
          <w:sz w:val="28"/>
          <w:szCs w:val="28"/>
        </w:rPr>
        <w:t>）要求</w:t>
      </w:r>
      <w:r w:rsidR="008236AD">
        <w:rPr>
          <w:rFonts w:ascii="仿宋" w:eastAsia="仿宋" w:hAnsi="仿宋" w:hint="eastAsia"/>
          <w:bCs/>
          <w:sz w:val="28"/>
          <w:szCs w:val="28"/>
        </w:rPr>
        <w:t>区分</w:t>
      </w:r>
      <w:r w:rsidR="00AE089E">
        <w:rPr>
          <w:rFonts w:ascii="仿宋" w:eastAsia="仿宋" w:hAnsi="仿宋" w:hint="eastAsia"/>
          <w:bCs/>
          <w:sz w:val="28"/>
          <w:szCs w:val="28"/>
        </w:rPr>
        <w:t>部分微小变更</w:t>
      </w:r>
      <w:r w:rsidR="00CD7355">
        <w:rPr>
          <w:rFonts w:ascii="仿宋" w:eastAsia="仿宋" w:hAnsi="仿宋" w:hint="eastAsia"/>
          <w:bCs/>
          <w:sz w:val="28"/>
          <w:szCs w:val="28"/>
        </w:rPr>
        <w:t>事项</w:t>
      </w:r>
      <w:r w:rsidR="00AE089E">
        <w:rPr>
          <w:rFonts w:ascii="仿宋" w:eastAsia="仿宋" w:hAnsi="仿宋" w:hint="eastAsia"/>
          <w:bCs/>
          <w:sz w:val="28"/>
          <w:szCs w:val="28"/>
        </w:rPr>
        <w:t>和属于G</w:t>
      </w:r>
      <w:r w:rsidR="00AE089E">
        <w:rPr>
          <w:rFonts w:ascii="仿宋" w:eastAsia="仿宋" w:hAnsi="仿宋"/>
          <w:bCs/>
          <w:sz w:val="28"/>
          <w:szCs w:val="28"/>
        </w:rPr>
        <w:t>MP</w:t>
      </w:r>
      <w:r w:rsidR="00AE089E">
        <w:rPr>
          <w:rFonts w:ascii="仿宋" w:eastAsia="仿宋" w:hAnsi="仿宋" w:hint="eastAsia"/>
          <w:bCs/>
          <w:sz w:val="28"/>
          <w:szCs w:val="28"/>
        </w:rPr>
        <w:t>体系内的变更事项。</w:t>
      </w:r>
      <w:r w:rsidR="00CD7355">
        <w:rPr>
          <w:rFonts w:ascii="仿宋" w:eastAsia="仿宋" w:hAnsi="仿宋" w:hint="eastAsia"/>
          <w:bCs/>
          <w:sz w:val="28"/>
          <w:szCs w:val="28"/>
        </w:rPr>
        <w:t xml:space="preserve"> </w:t>
      </w:r>
    </w:p>
    <w:p w14:paraId="71D09B8F" w14:textId="4DFDFD60" w:rsidR="00360D6B" w:rsidRPr="007B5C43" w:rsidRDefault="007B5C43" w:rsidP="007B5C43">
      <w:pPr>
        <w:spacing w:line="360" w:lineRule="auto"/>
        <w:ind w:firstLineChars="200" w:firstLine="562"/>
        <w:jc w:val="left"/>
        <w:rPr>
          <w:rFonts w:ascii="仿宋" w:eastAsia="仿宋" w:hAnsi="仿宋"/>
          <w:b/>
          <w:sz w:val="28"/>
          <w:szCs w:val="28"/>
        </w:rPr>
      </w:pPr>
      <w:r>
        <w:rPr>
          <w:rFonts w:ascii="仿宋" w:eastAsia="仿宋" w:hAnsi="仿宋" w:hint="eastAsia"/>
          <w:b/>
          <w:sz w:val="28"/>
          <w:szCs w:val="28"/>
        </w:rPr>
        <w:t>（二</w:t>
      </w:r>
      <w:r>
        <w:rPr>
          <w:rFonts w:ascii="仿宋" w:eastAsia="仿宋" w:hAnsi="仿宋"/>
          <w:b/>
          <w:sz w:val="28"/>
          <w:szCs w:val="28"/>
        </w:rPr>
        <w:t>）</w:t>
      </w:r>
      <w:r w:rsidR="00A616ED" w:rsidRPr="007B5C43">
        <w:rPr>
          <w:rFonts w:ascii="仿宋" w:eastAsia="仿宋" w:hAnsi="仿宋" w:hint="eastAsia"/>
          <w:b/>
          <w:sz w:val="28"/>
          <w:szCs w:val="28"/>
        </w:rPr>
        <w:t>强化变更风险识别、控制</w:t>
      </w:r>
    </w:p>
    <w:p w14:paraId="6AECAD57" w14:textId="3C9A971E" w:rsidR="00A616ED" w:rsidRDefault="004B595C" w:rsidP="00212611">
      <w:pPr>
        <w:spacing w:line="360" w:lineRule="auto"/>
        <w:ind w:firstLineChars="200" w:firstLine="560"/>
        <w:rPr>
          <w:rFonts w:ascii="仿宋" w:eastAsia="仿宋" w:hAnsi="仿宋"/>
          <w:bCs/>
          <w:sz w:val="28"/>
          <w:szCs w:val="28"/>
        </w:rPr>
      </w:pPr>
      <w:r w:rsidRPr="004B595C">
        <w:rPr>
          <w:rFonts w:ascii="仿宋" w:eastAsia="仿宋" w:hAnsi="仿宋" w:hint="eastAsia"/>
          <w:bCs/>
          <w:sz w:val="28"/>
          <w:szCs w:val="28"/>
        </w:rPr>
        <w:t>《药品注册管理办法》（征求意见稿）</w:t>
      </w:r>
      <w:r>
        <w:rPr>
          <w:rFonts w:ascii="仿宋" w:eastAsia="仿宋" w:hAnsi="仿宋" w:hint="eastAsia"/>
          <w:bCs/>
          <w:sz w:val="28"/>
          <w:szCs w:val="28"/>
        </w:rPr>
        <w:t>在药品的管理及监管中</w:t>
      </w:r>
      <w:r w:rsidR="0053502B">
        <w:rPr>
          <w:rFonts w:ascii="仿宋" w:eastAsia="仿宋" w:hAnsi="仿宋" w:hint="eastAsia"/>
          <w:bCs/>
          <w:sz w:val="28"/>
          <w:szCs w:val="28"/>
        </w:rPr>
        <w:t>强调了</w:t>
      </w:r>
      <w:r>
        <w:rPr>
          <w:rFonts w:ascii="仿宋" w:eastAsia="仿宋" w:hAnsi="仿宋" w:hint="eastAsia"/>
          <w:bCs/>
          <w:sz w:val="28"/>
          <w:szCs w:val="28"/>
        </w:rPr>
        <w:t>风险管理。</w:t>
      </w:r>
      <w:r w:rsidR="0053502B">
        <w:rPr>
          <w:rFonts w:ascii="仿宋" w:eastAsia="仿宋" w:hAnsi="仿宋" w:hint="eastAsia"/>
          <w:bCs/>
          <w:sz w:val="28"/>
          <w:szCs w:val="28"/>
        </w:rPr>
        <w:t>对风险管理</w:t>
      </w:r>
      <w:r w:rsidR="002A0837">
        <w:rPr>
          <w:rFonts w:ascii="仿宋" w:eastAsia="仿宋" w:hAnsi="仿宋" w:hint="eastAsia"/>
          <w:bCs/>
          <w:sz w:val="28"/>
          <w:szCs w:val="28"/>
        </w:rPr>
        <w:t>的应用和有效的药物质量体系是实施本指</w:t>
      </w:r>
      <w:r w:rsidR="002A0837">
        <w:rPr>
          <w:rFonts w:ascii="仿宋" w:eastAsia="仿宋" w:hAnsi="仿宋" w:hint="eastAsia"/>
          <w:bCs/>
          <w:sz w:val="28"/>
          <w:szCs w:val="28"/>
        </w:rPr>
        <w:lastRenderedPageBreak/>
        <w:t>导原则的基础</w:t>
      </w:r>
      <w:r w:rsidR="00150D30">
        <w:rPr>
          <w:rFonts w:ascii="仿宋" w:eastAsia="仿宋" w:hAnsi="仿宋" w:hint="eastAsia"/>
          <w:bCs/>
          <w:sz w:val="28"/>
          <w:szCs w:val="28"/>
        </w:rPr>
        <w:t>。</w:t>
      </w:r>
      <w:r w:rsidR="00150D30" w:rsidRPr="00A616ED">
        <w:rPr>
          <w:rFonts w:ascii="仿宋" w:eastAsia="仿宋" w:hAnsi="仿宋" w:hint="eastAsia"/>
          <w:bCs/>
          <w:sz w:val="28"/>
          <w:szCs w:val="28"/>
        </w:rPr>
        <w:t>根据咨询意见，本</w:t>
      </w:r>
      <w:r w:rsidR="00F413BD">
        <w:rPr>
          <w:rFonts w:ascii="仿宋" w:eastAsia="仿宋" w:hAnsi="仿宋" w:hint="eastAsia"/>
          <w:bCs/>
          <w:sz w:val="28"/>
          <w:szCs w:val="28"/>
        </w:rPr>
        <w:t>起草小组</w:t>
      </w:r>
      <w:r>
        <w:rPr>
          <w:rFonts w:ascii="仿宋" w:eastAsia="仿宋" w:hAnsi="仿宋" w:hint="eastAsia"/>
          <w:bCs/>
          <w:sz w:val="28"/>
          <w:szCs w:val="28"/>
        </w:rPr>
        <w:t>在此次修订的指导原则中</w:t>
      </w:r>
      <w:r w:rsidR="002A0BFC">
        <w:rPr>
          <w:rFonts w:ascii="仿宋" w:eastAsia="仿宋" w:hAnsi="仿宋" w:hint="eastAsia"/>
          <w:bCs/>
          <w:sz w:val="28"/>
          <w:szCs w:val="28"/>
        </w:rPr>
        <w:t>除了</w:t>
      </w:r>
      <w:r w:rsidR="0053502B">
        <w:rPr>
          <w:rFonts w:ascii="仿宋" w:eastAsia="仿宋" w:hAnsi="仿宋" w:hint="eastAsia"/>
          <w:bCs/>
          <w:sz w:val="28"/>
          <w:szCs w:val="28"/>
        </w:rPr>
        <w:t>在</w:t>
      </w:r>
      <w:r w:rsidR="002A0BFC">
        <w:rPr>
          <w:rFonts w:ascii="仿宋" w:eastAsia="仿宋" w:hAnsi="仿宋" w:hint="eastAsia"/>
          <w:bCs/>
          <w:sz w:val="28"/>
          <w:szCs w:val="28"/>
        </w:rPr>
        <w:t>分类和技术要求</w:t>
      </w:r>
      <w:r w:rsidR="0053502B">
        <w:rPr>
          <w:rFonts w:ascii="仿宋" w:eastAsia="仿宋" w:hAnsi="仿宋" w:hint="eastAsia"/>
          <w:bCs/>
          <w:sz w:val="28"/>
          <w:szCs w:val="28"/>
        </w:rPr>
        <w:t>，在</w:t>
      </w:r>
      <w:r w:rsidR="002A0BFC">
        <w:rPr>
          <w:rFonts w:ascii="仿宋" w:eastAsia="仿宋" w:hAnsi="仿宋" w:hint="eastAsia"/>
          <w:bCs/>
          <w:sz w:val="28"/>
          <w:szCs w:val="28"/>
        </w:rPr>
        <w:t>基于风险</w:t>
      </w:r>
      <w:r w:rsidR="0053502B">
        <w:rPr>
          <w:rFonts w:ascii="仿宋" w:eastAsia="仿宋" w:hAnsi="仿宋" w:hint="eastAsia"/>
          <w:bCs/>
          <w:sz w:val="28"/>
          <w:szCs w:val="28"/>
        </w:rPr>
        <w:t>基础上</w:t>
      </w:r>
      <w:r w:rsidR="002A0BFC">
        <w:rPr>
          <w:rFonts w:ascii="仿宋" w:eastAsia="仿宋" w:hAnsi="仿宋" w:hint="eastAsia"/>
          <w:bCs/>
          <w:sz w:val="28"/>
          <w:szCs w:val="28"/>
        </w:rPr>
        <w:t>进行修订以外，特别强调了</w:t>
      </w:r>
      <w:r w:rsidR="00A616ED" w:rsidRPr="00A616ED">
        <w:rPr>
          <w:rFonts w:ascii="仿宋" w:eastAsia="仿宋" w:hAnsi="仿宋" w:hint="eastAsia"/>
          <w:bCs/>
          <w:sz w:val="28"/>
          <w:szCs w:val="28"/>
        </w:rPr>
        <w:t>持有人对生物制品上市后变更研究和管理担负主体责任，增加了持有人风险识别、控制的重要性等内容</w:t>
      </w:r>
      <w:r w:rsidR="00A616ED" w:rsidRPr="00A616ED">
        <w:rPr>
          <w:rFonts w:ascii="仿宋" w:eastAsia="仿宋" w:hAnsi="仿宋"/>
          <w:bCs/>
          <w:sz w:val="28"/>
          <w:szCs w:val="28"/>
        </w:rPr>
        <w:t>，以与今后转变更管理模式相衔接。</w:t>
      </w:r>
    </w:p>
    <w:p w14:paraId="611D0574" w14:textId="4F23DBE0" w:rsidR="005B4B86" w:rsidRPr="00150D30" w:rsidRDefault="005B4B86" w:rsidP="005B4B86">
      <w:pPr>
        <w:spacing w:line="360" w:lineRule="auto"/>
        <w:ind w:left="562"/>
        <w:jc w:val="left"/>
        <w:rPr>
          <w:rFonts w:ascii="仿宋" w:eastAsia="仿宋" w:hAnsi="仿宋"/>
          <w:b/>
          <w:bCs/>
          <w:sz w:val="28"/>
          <w:szCs w:val="28"/>
        </w:rPr>
      </w:pPr>
      <w:r>
        <w:rPr>
          <w:rFonts w:ascii="仿宋" w:eastAsia="仿宋" w:hAnsi="仿宋" w:hint="eastAsia"/>
          <w:b/>
          <w:bCs/>
          <w:sz w:val="28"/>
          <w:szCs w:val="28"/>
        </w:rPr>
        <w:t>（</w:t>
      </w:r>
      <w:r>
        <w:rPr>
          <w:rFonts w:ascii="仿宋" w:eastAsia="仿宋" w:hAnsi="仿宋" w:hint="eastAsia"/>
          <w:b/>
          <w:bCs/>
          <w:sz w:val="28"/>
          <w:szCs w:val="28"/>
        </w:rPr>
        <w:t>三</w:t>
      </w:r>
      <w:r>
        <w:rPr>
          <w:rFonts w:ascii="仿宋" w:eastAsia="仿宋" w:hAnsi="仿宋" w:hint="eastAsia"/>
          <w:b/>
          <w:bCs/>
          <w:sz w:val="28"/>
          <w:szCs w:val="28"/>
        </w:rPr>
        <w:t>）</w:t>
      </w:r>
      <w:r w:rsidRPr="00150D30">
        <w:rPr>
          <w:rFonts w:ascii="仿宋" w:eastAsia="仿宋" w:hAnsi="仿宋" w:hint="eastAsia"/>
          <w:b/>
          <w:bCs/>
          <w:sz w:val="28"/>
          <w:szCs w:val="28"/>
        </w:rPr>
        <w:t>沟通交流</w:t>
      </w:r>
    </w:p>
    <w:p w14:paraId="3167275B" w14:textId="77777777" w:rsidR="005B4B86" w:rsidRPr="00A616ED" w:rsidRDefault="005B4B86" w:rsidP="005B4B86">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此次修订中，</w:t>
      </w:r>
      <w:r w:rsidRPr="00A616ED">
        <w:rPr>
          <w:rFonts w:ascii="仿宋" w:eastAsia="仿宋" w:hAnsi="仿宋" w:hint="eastAsia"/>
          <w:sz w:val="28"/>
          <w:szCs w:val="28"/>
        </w:rPr>
        <w:t>强调沟通交流在生物制品变更中的重要作用。本指导原则的内容不可能涵盖所有变更情况，鼓励持有人通过沟通交流途径，就预期的上市后变更类别、支持变更的研究事项、上市后变更管理方案等现行法规和</w:t>
      </w:r>
      <w:r>
        <w:rPr>
          <w:rFonts w:ascii="仿宋" w:eastAsia="仿宋" w:hAnsi="仿宋" w:hint="eastAsia"/>
          <w:sz w:val="28"/>
          <w:szCs w:val="28"/>
        </w:rPr>
        <w:t>本</w:t>
      </w:r>
      <w:r w:rsidRPr="00A616ED">
        <w:rPr>
          <w:rFonts w:ascii="仿宋" w:eastAsia="仿宋" w:hAnsi="仿宋" w:hint="eastAsia"/>
          <w:sz w:val="28"/>
          <w:szCs w:val="28"/>
        </w:rPr>
        <w:t>指导原则没有涵盖的生物制品上市后变更关键技术、管理问题与药品审评机构进行交流。</w:t>
      </w:r>
    </w:p>
    <w:p w14:paraId="14C2CE21" w14:textId="3C51DF7F" w:rsidR="007506B8" w:rsidRPr="005B4B86" w:rsidRDefault="005B4B86" w:rsidP="005B4B86">
      <w:pPr>
        <w:spacing w:line="360" w:lineRule="auto"/>
        <w:ind w:firstLineChars="200" w:firstLine="562"/>
        <w:jc w:val="left"/>
        <w:rPr>
          <w:rFonts w:ascii="仿宋" w:eastAsia="仿宋" w:hAnsi="仿宋"/>
          <w:b/>
          <w:sz w:val="28"/>
          <w:szCs w:val="28"/>
        </w:rPr>
      </w:pPr>
      <w:r>
        <w:rPr>
          <w:rFonts w:ascii="仿宋" w:eastAsia="仿宋" w:hAnsi="仿宋" w:hint="eastAsia"/>
          <w:b/>
          <w:sz w:val="28"/>
          <w:szCs w:val="28"/>
        </w:rPr>
        <w:t>（四</w:t>
      </w:r>
      <w:r>
        <w:rPr>
          <w:rFonts w:ascii="仿宋" w:eastAsia="仿宋" w:hAnsi="仿宋"/>
          <w:b/>
          <w:sz w:val="28"/>
          <w:szCs w:val="28"/>
        </w:rPr>
        <w:t>）</w:t>
      </w:r>
      <w:r w:rsidR="00A4442E" w:rsidRPr="005B4B86">
        <w:rPr>
          <w:rFonts w:ascii="仿宋" w:eastAsia="仿宋" w:hAnsi="仿宋" w:hint="eastAsia"/>
          <w:b/>
          <w:sz w:val="28"/>
          <w:szCs w:val="28"/>
        </w:rPr>
        <w:t>技术</w:t>
      </w:r>
      <w:r w:rsidR="002F1DE9" w:rsidRPr="005B4B86">
        <w:rPr>
          <w:rFonts w:ascii="仿宋" w:eastAsia="仿宋" w:hAnsi="仿宋" w:hint="eastAsia"/>
          <w:b/>
          <w:sz w:val="28"/>
          <w:szCs w:val="28"/>
        </w:rPr>
        <w:t>资料要求的考量</w:t>
      </w:r>
    </w:p>
    <w:p w14:paraId="106A94A5" w14:textId="77777777" w:rsidR="00664BD6" w:rsidRDefault="00664BD6" w:rsidP="00664BD6">
      <w:pPr>
        <w:spacing w:line="360" w:lineRule="auto"/>
        <w:ind w:firstLineChars="200" w:firstLine="560"/>
        <w:jc w:val="left"/>
        <w:rPr>
          <w:rFonts w:ascii="仿宋" w:eastAsia="仿宋" w:hAnsi="仿宋"/>
          <w:bCs/>
          <w:sz w:val="28"/>
          <w:szCs w:val="28"/>
        </w:rPr>
      </w:pPr>
      <w:r w:rsidRPr="00664BD6">
        <w:rPr>
          <w:rFonts w:ascii="仿宋" w:eastAsia="仿宋" w:hAnsi="仿宋" w:hint="eastAsia"/>
          <w:bCs/>
          <w:sz w:val="28"/>
          <w:szCs w:val="28"/>
        </w:rPr>
        <w:t>《药品注册管理办法》（征求意见稿）</w:t>
      </w:r>
      <w:r>
        <w:rPr>
          <w:rFonts w:ascii="仿宋" w:eastAsia="仿宋" w:hAnsi="仿宋" w:hint="eastAsia"/>
          <w:bCs/>
          <w:sz w:val="28"/>
          <w:szCs w:val="28"/>
        </w:rPr>
        <w:t>对不同级别的变更实行不同类型的变更监管方式，</w:t>
      </w:r>
      <w:r w:rsidR="00FE7482" w:rsidRPr="00FE7482">
        <w:rPr>
          <w:rFonts w:ascii="仿宋" w:eastAsia="仿宋" w:hAnsi="仿宋" w:hint="eastAsia"/>
          <w:bCs/>
          <w:sz w:val="28"/>
          <w:szCs w:val="28"/>
        </w:rPr>
        <w:t>为落实“放管服”要求</w:t>
      </w:r>
      <w:r w:rsidR="00FE7482">
        <w:rPr>
          <w:rFonts w:ascii="仿宋" w:eastAsia="仿宋" w:hAnsi="仿宋" w:hint="eastAsia"/>
          <w:bCs/>
          <w:sz w:val="28"/>
          <w:szCs w:val="28"/>
        </w:rPr>
        <w:t>，</w:t>
      </w:r>
      <w:r>
        <w:rPr>
          <w:rFonts w:ascii="仿宋" w:eastAsia="仿宋" w:hAnsi="仿宋" w:hint="eastAsia"/>
          <w:bCs/>
          <w:sz w:val="28"/>
          <w:szCs w:val="28"/>
        </w:rPr>
        <w:t>配合不同变更类别监管的实施，</w:t>
      </w:r>
      <w:r w:rsidR="00B101C0" w:rsidRPr="00B101C0">
        <w:rPr>
          <w:rFonts w:ascii="仿宋" w:eastAsia="仿宋" w:hAnsi="仿宋" w:hint="eastAsia"/>
          <w:bCs/>
          <w:sz w:val="28"/>
          <w:szCs w:val="28"/>
        </w:rPr>
        <w:t>在控制风险的同时，强化监管效率</w:t>
      </w:r>
      <w:r>
        <w:rPr>
          <w:rFonts w:ascii="仿宋" w:eastAsia="仿宋" w:hAnsi="仿宋" w:hint="eastAsia"/>
          <w:bCs/>
          <w:sz w:val="28"/>
          <w:szCs w:val="28"/>
        </w:rPr>
        <w:t>，本次修订过程中</w:t>
      </w:r>
      <w:r w:rsidR="002A0837">
        <w:rPr>
          <w:rFonts w:ascii="仿宋" w:eastAsia="仿宋" w:hAnsi="仿宋" w:hint="eastAsia"/>
          <w:bCs/>
          <w:sz w:val="28"/>
          <w:szCs w:val="28"/>
        </w:rPr>
        <w:t>，</w:t>
      </w:r>
      <w:r w:rsidR="00F413BD">
        <w:rPr>
          <w:rFonts w:ascii="仿宋" w:eastAsia="仿宋" w:hAnsi="仿宋" w:hint="eastAsia"/>
          <w:bCs/>
          <w:sz w:val="28"/>
          <w:szCs w:val="28"/>
        </w:rPr>
        <w:t>起草小组</w:t>
      </w:r>
      <w:r>
        <w:rPr>
          <w:rFonts w:ascii="仿宋" w:eastAsia="仿宋" w:hAnsi="仿宋" w:hint="eastAsia"/>
          <w:bCs/>
          <w:sz w:val="28"/>
          <w:szCs w:val="28"/>
        </w:rPr>
        <w:t>着重对资料要求的以下几方面进行了修订：</w:t>
      </w:r>
    </w:p>
    <w:p w14:paraId="63D52A72" w14:textId="77777777" w:rsidR="00664BD6" w:rsidRPr="00664BD6" w:rsidRDefault="00664BD6" w:rsidP="00664BD6">
      <w:pPr>
        <w:spacing w:line="360" w:lineRule="auto"/>
        <w:ind w:firstLineChars="200" w:firstLine="562"/>
        <w:jc w:val="left"/>
        <w:rPr>
          <w:rFonts w:ascii="仿宋" w:eastAsia="仿宋" w:hAnsi="仿宋"/>
          <w:b/>
          <w:sz w:val="28"/>
          <w:szCs w:val="28"/>
        </w:rPr>
      </w:pPr>
      <w:r w:rsidRPr="00664BD6">
        <w:rPr>
          <w:rFonts w:ascii="仿宋" w:eastAsia="仿宋" w:hAnsi="仿宋" w:hint="eastAsia"/>
          <w:b/>
          <w:sz w:val="28"/>
          <w:szCs w:val="28"/>
        </w:rPr>
        <w:t>1、关于规模的</w:t>
      </w:r>
      <w:r>
        <w:rPr>
          <w:rFonts w:ascii="仿宋" w:eastAsia="仿宋" w:hAnsi="仿宋" w:hint="eastAsia"/>
          <w:b/>
          <w:sz w:val="28"/>
          <w:szCs w:val="28"/>
        </w:rPr>
        <w:t>考量</w:t>
      </w:r>
    </w:p>
    <w:p w14:paraId="03CA5393" w14:textId="77777777" w:rsidR="00664BD6" w:rsidRDefault="00664BD6" w:rsidP="00212611">
      <w:pPr>
        <w:spacing w:line="360" w:lineRule="auto"/>
        <w:ind w:firstLineChars="200" w:firstLine="560"/>
        <w:rPr>
          <w:rFonts w:ascii="仿宋" w:eastAsia="仿宋" w:hAnsi="仿宋"/>
          <w:bCs/>
          <w:sz w:val="28"/>
          <w:szCs w:val="28"/>
        </w:rPr>
      </w:pPr>
      <w:r w:rsidRPr="00664BD6">
        <w:rPr>
          <w:rFonts w:ascii="仿宋" w:eastAsia="仿宋" w:hAnsi="仿宋" w:hint="eastAsia"/>
          <w:bCs/>
          <w:sz w:val="28"/>
          <w:szCs w:val="28"/>
        </w:rPr>
        <w:t>根据</w:t>
      </w:r>
      <w:r w:rsidRPr="00664BD6">
        <w:rPr>
          <w:rFonts w:ascii="仿宋" w:eastAsia="仿宋" w:hAnsi="仿宋"/>
          <w:bCs/>
          <w:sz w:val="28"/>
          <w:szCs w:val="28"/>
        </w:rPr>
        <w:t>ICH</w:t>
      </w:r>
      <w:r w:rsidR="00073872">
        <w:rPr>
          <w:rFonts w:ascii="仿宋" w:eastAsia="仿宋" w:hAnsi="仿宋"/>
          <w:bCs/>
          <w:sz w:val="28"/>
          <w:szCs w:val="28"/>
        </w:rPr>
        <w:t xml:space="preserve"> </w:t>
      </w:r>
      <w:r w:rsidRPr="00664BD6">
        <w:rPr>
          <w:rFonts w:ascii="仿宋" w:eastAsia="仿宋" w:hAnsi="仿宋"/>
          <w:bCs/>
          <w:sz w:val="28"/>
          <w:szCs w:val="28"/>
        </w:rPr>
        <w:t>Q5E的要求，上市后工艺变更通常需要商业规模数据的支持。但基于风险的考虑，经达成风险评估共识或已有科学认知明确对产品质量影响不显著的工艺变更，可适当降低规模开展研究。</w:t>
      </w:r>
    </w:p>
    <w:p w14:paraId="03F4E10F" w14:textId="77777777" w:rsidR="00664BD6" w:rsidRPr="00664BD6" w:rsidRDefault="00664BD6" w:rsidP="00664BD6">
      <w:pPr>
        <w:spacing w:line="360" w:lineRule="auto"/>
        <w:ind w:firstLineChars="200" w:firstLine="562"/>
        <w:jc w:val="left"/>
        <w:rPr>
          <w:rFonts w:ascii="仿宋" w:eastAsia="仿宋" w:hAnsi="仿宋"/>
          <w:b/>
          <w:sz w:val="28"/>
          <w:szCs w:val="28"/>
        </w:rPr>
      </w:pPr>
      <w:r w:rsidRPr="00664BD6">
        <w:rPr>
          <w:rFonts w:ascii="仿宋" w:eastAsia="仿宋" w:hAnsi="仿宋" w:hint="eastAsia"/>
          <w:b/>
          <w:sz w:val="28"/>
          <w:szCs w:val="28"/>
        </w:rPr>
        <w:t>2、关于批次数量的</w:t>
      </w:r>
      <w:r>
        <w:rPr>
          <w:rFonts w:ascii="仿宋" w:eastAsia="仿宋" w:hAnsi="仿宋" w:hint="eastAsia"/>
          <w:b/>
          <w:sz w:val="28"/>
          <w:szCs w:val="28"/>
        </w:rPr>
        <w:t>考量</w:t>
      </w:r>
    </w:p>
    <w:p w14:paraId="646AA7D5" w14:textId="77777777" w:rsidR="00664BD6" w:rsidRDefault="00150D30" w:rsidP="00212611">
      <w:pPr>
        <w:spacing w:line="360" w:lineRule="auto"/>
        <w:ind w:firstLineChars="200" w:firstLine="560"/>
        <w:rPr>
          <w:rFonts w:ascii="仿宋" w:eastAsia="仿宋" w:hAnsi="仿宋"/>
          <w:bCs/>
          <w:sz w:val="28"/>
          <w:szCs w:val="28"/>
        </w:rPr>
      </w:pPr>
      <w:r>
        <w:rPr>
          <w:rFonts w:ascii="仿宋" w:eastAsia="仿宋" w:hAnsi="仿宋" w:hint="eastAsia"/>
          <w:bCs/>
          <w:sz w:val="28"/>
          <w:szCs w:val="28"/>
        </w:rPr>
        <w:t>结合反馈意见，</w:t>
      </w:r>
      <w:r w:rsidR="00664BD6">
        <w:rPr>
          <w:rFonts w:ascii="仿宋" w:eastAsia="仿宋" w:hAnsi="仿宋" w:hint="eastAsia"/>
          <w:bCs/>
          <w:sz w:val="28"/>
          <w:szCs w:val="28"/>
        </w:rPr>
        <w:t>起草小组</w:t>
      </w:r>
      <w:r w:rsidR="00664BD6" w:rsidRPr="00664BD6">
        <w:rPr>
          <w:rFonts w:ascii="仿宋" w:eastAsia="仿宋" w:hAnsi="仿宋" w:hint="eastAsia"/>
          <w:bCs/>
          <w:sz w:val="28"/>
          <w:szCs w:val="28"/>
        </w:rPr>
        <w:t>认真调研了国外同类指导原则，在基于</w:t>
      </w:r>
      <w:r w:rsidR="00664BD6" w:rsidRPr="00664BD6">
        <w:rPr>
          <w:rFonts w:ascii="仿宋" w:eastAsia="仿宋" w:hAnsi="仿宋" w:hint="eastAsia"/>
          <w:bCs/>
          <w:sz w:val="28"/>
          <w:szCs w:val="28"/>
        </w:rPr>
        <w:lastRenderedPageBreak/>
        <w:t>科学和风险的基础上，对于部分风险较小的变更事项降低了验证批次</w:t>
      </w:r>
      <w:r w:rsidR="00664BD6">
        <w:rPr>
          <w:rFonts w:ascii="仿宋" w:eastAsia="仿宋" w:hAnsi="仿宋" w:hint="eastAsia"/>
          <w:bCs/>
          <w:sz w:val="28"/>
          <w:szCs w:val="28"/>
        </w:rPr>
        <w:t>数量的</w:t>
      </w:r>
      <w:r w:rsidR="00664BD6" w:rsidRPr="00664BD6">
        <w:rPr>
          <w:rFonts w:ascii="仿宋" w:eastAsia="仿宋" w:hAnsi="仿宋" w:hint="eastAsia"/>
          <w:bCs/>
          <w:sz w:val="28"/>
          <w:szCs w:val="28"/>
        </w:rPr>
        <w:t>要求。实际变更中，申请人</w:t>
      </w:r>
      <w:r w:rsidR="00664BD6">
        <w:rPr>
          <w:rFonts w:ascii="仿宋" w:eastAsia="仿宋" w:hAnsi="仿宋" w:hint="eastAsia"/>
          <w:bCs/>
          <w:sz w:val="28"/>
          <w:szCs w:val="28"/>
        </w:rPr>
        <w:t>还可以</w:t>
      </w:r>
      <w:r w:rsidR="00664BD6" w:rsidRPr="00664BD6">
        <w:rPr>
          <w:rFonts w:ascii="仿宋" w:eastAsia="仿宋" w:hAnsi="仿宋" w:hint="eastAsia"/>
          <w:bCs/>
          <w:sz w:val="28"/>
          <w:szCs w:val="28"/>
        </w:rPr>
        <w:t>结合实际</w:t>
      </w:r>
      <w:r w:rsidR="00664BD6">
        <w:rPr>
          <w:rFonts w:ascii="仿宋" w:eastAsia="仿宋" w:hAnsi="仿宋" w:hint="eastAsia"/>
          <w:bCs/>
          <w:sz w:val="28"/>
          <w:szCs w:val="28"/>
        </w:rPr>
        <w:t>情况</w:t>
      </w:r>
      <w:r w:rsidR="00664BD6" w:rsidRPr="00664BD6">
        <w:rPr>
          <w:rFonts w:ascii="仿宋" w:eastAsia="仿宋" w:hAnsi="仿宋" w:hint="eastAsia"/>
          <w:bCs/>
          <w:sz w:val="28"/>
          <w:szCs w:val="28"/>
        </w:rPr>
        <w:t>参考</w:t>
      </w:r>
      <w:r w:rsidR="00664BD6" w:rsidRPr="00664BD6">
        <w:rPr>
          <w:rFonts w:ascii="仿宋" w:eastAsia="仿宋" w:hAnsi="仿宋"/>
          <w:bCs/>
          <w:sz w:val="28"/>
          <w:szCs w:val="28"/>
        </w:rPr>
        <w:t>ICH Q5E等指导原则使用括号法等进行验证，并应充分阐述减少批次的支持性依据。</w:t>
      </w:r>
    </w:p>
    <w:p w14:paraId="6AB576BC" w14:textId="77777777" w:rsidR="00664BD6" w:rsidRPr="00664BD6" w:rsidRDefault="00664BD6" w:rsidP="00664BD6">
      <w:pPr>
        <w:spacing w:line="360" w:lineRule="auto"/>
        <w:ind w:firstLineChars="200" w:firstLine="562"/>
        <w:jc w:val="left"/>
        <w:rPr>
          <w:rFonts w:ascii="仿宋" w:eastAsia="仿宋" w:hAnsi="仿宋"/>
          <w:b/>
          <w:sz w:val="28"/>
          <w:szCs w:val="28"/>
        </w:rPr>
      </w:pPr>
      <w:r w:rsidRPr="00664BD6">
        <w:rPr>
          <w:rFonts w:ascii="仿宋" w:eastAsia="仿宋" w:hAnsi="仿宋" w:hint="eastAsia"/>
          <w:b/>
          <w:sz w:val="28"/>
          <w:szCs w:val="28"/>
        </w:rPr>
        <w:t>3、关于稳定性研究的考量</w:t>
      </w:r>
    </w:p>
    <w:p w14:paraId="4E98FAC4" w14:textId="77777777" w:rsidR="00664BD6" w:rsidRDefault="00664BD6" w:rsidP="00664BD6">
      <w:pPr>
        <w:spacing w:line="360" w:lineRule="auto"/>
        <w:ind w:firstLineChars="200" w:firstLine="560"/>
        <w:jc w:val="left"/>
        <w:rPr>
          <w:rFonts w:ascii="仿宋" w:eastAsia="仿宋" w:hAnsi="仿宋"/>
          <w:bCs/>
          <w:sz w:val="28"/>
          <w:szCs w:val="28"/>
        </w:rPr>
      </w:pPr>
      <w:r w:rsidRPr="00664BD6">
        <w:rPr>
          <w:rFonts w:ascii="仿宋" w:eastAsia="仿宋" w:hAnsi="仿宋" w:hint="eastAsia"/>
          <w:bCs/>
          <w:sz w:val="28"/>
          <w:szCs w:val="28"/>
        </w:rPr>
        <w:t>变更后的稳定性研究涉及的问题较为复杂，</w:t>
      </w:r>
      <w:r w:rsidR="00F413BD">
        <w:rPr>
          <w:rFonts w:ascii="仿宋" w:eastAsia="仿宋" w:hAnsi="仿宋" w:hint="eastAsia"/>
          <w:bCs/>
          <w:sz w:val="28"/>
          <w:szCs w:val="28"/>
        </w:rPr>
        <w:t>起草小组</w:t>
      </w:r>
      <w:r w:rsidRPr="00664BD6">
        <w:rPr>
          <w:rFonts w:ascii="仿宋" w:eastAsia="仿宋" w:hAnsi="仿宋" w:hint="eastAsia"/>
          <w:bCs/>
          <w:sz w:val="28"/>
          <w:szCs w:val="28"/>
        </w:rPr>
        <w:t>认为变更后稳定性研究的范围及程度应在全面风险评估的基础上，应具体问题具体分析。此次修订的指导原则中，</w:t>
      </w:r>
      <w:r w:rsidR="00F413BD">
        <w:rPr>
          <w:rFonts w:ascii="仿宋" w:eastAsia="仿宋" w:hAnsi="仿宋" w:hint="eastAsia"/>
          <w:bCs/>
          <w:sz w:val="28"/>
          <w:szCs w:val="28"/>
        </w:rPr>
        <w:t>起草小组</w:t>
      </w:r>
      <w:r w:rsidRPr="00664BD6">
        <w:rPr>
          <w:rFonts w:ascii="仿宋" w:eastAsia="仿宋" w:hAnsi="仿宋" w:hint="eastAsia"/>
          <w:bCs/>
          <w:sz w:val="28"/>
          <w:szCs w:val="28"/>
        </w:rPr>
        <w:t>在基于风险的基础上，明确当原液变更会对制剂稳定性造成影响时，应开展制剂稳定性研究</w:t>
      </w:r>
      <w:r w:rsidR="00B101C0">
        <w:rPr>
          <w:rFonts w:ascii="仿宋" w:eastAsia="仿宋" w:hAnsi="仿宋" w:hint="eastAsia"/>
          <w:bCs/>
          <w:sz w:val="28"/>
          <w:szCs w:val="28"/>
        </w:rPr>
        <w:t>；</w:t>
      </w:r>
      <w:r w:rsidRPr="00664BD6">
        <w:rPr>
          <w:rFonts w:ascii="仿宋" w:eastAsia="仿宋" w:hAnsi="仿宋" w:hint="eastAsia"/>
          <w:bCs/>
          <w:sz w:val="28"/>
          <w:szCs w:val="28"/>
        </w:rPr>
        <w:t>对不</w:t>
      </w:r>
      <w:r w:rsidR="009F6724">
        <w:rPr>
          <w:rFonts w:ascii="仿宋" w:eastAsia="仿宋" w:hAnsi="仿宋" w:hint="eastAsia"/>
          <w:bCs/>
          <w:sz w:val="28"/>
          <w:szCs w:val="28"/>
        </w:rPr>
        <w:t>影响</w:t>
      </w:r>
      <w:r w:rsidRPr="00664BD6">
        <w:rPr>
          <w:rFonts w:ascii="仿宋" w:eastAsia="仿宋" w:hAnsi="仿宋" w:hint="eastAsia"/>
          <w:bCs/>
          <w:sz w:val="28"/>
          <w:szCs w:val="28"/>
        </w:rPr>
        <w:t>稳定性的变更事项，取消了稳定性研究的技术要求</w:t>
      </w:r>
      <w:r w:rsidR="00B101C0">
        <w:rPr>
          <w:rFonts w:ascii="仿宋" w:eastAsia="仿宋" w:hAnsi="仿宋" w:hint="eastAsia"/>
          <w:bCs/>
          <w:sz w:val="28"/>
          <w:szCs w:val="28"/>
        </w:rPr>
        <w:t>；</w:t>
      </w:r>
      <w:r w:rsidR="009F6724">
        <w:rPr>
          <w:rFonts w:ascii="仿宋" w:eastAsia="仿宋" w:hAnsi="仿宋" w:hint="eastAsia"/>
          <w:bCs/>
          <w:sz w:val="28"/>
          <w:szCs w:val="28"/>
        </w:rPr>
        <w:t>对稳定性产生影响</w:t>
      </w:r>
      <w:r w:rsidR="00B101C0">
        <w:rPr>
          <w:rFonts w:ascii="仿宋" w:eastAsia="仿宋" w:hAnsi="仿宋" w:hint="eastAsia"/>
          <w:bCs/>
          <w:sz w:val="28"/>
          <w:szCs w:val="28"/>
        </w:rPr>
        <w:t>甚微</w:t>
      </w:r>
      <w:r w:rsidR="009F6724">
        <w:rPr>
          <w:rFonts w:ascii="仿宋" w:eastAsia="仿宋" w:hAnsi="仿宋" w:hint="eastAsia"/>
          <w:bCs/>
          <w:sz w:val="28"/>
          <w:szCs w:val="28"/>
        </w:rPr>
        <w:t>的变更事项，建议以上市后稳定性研究承诺的方式，由</w:t>
      </w:r>
      <w:r w:rsidR="00B101C0">
        <w:rPr>
          <w:rFonts w:ascii="仿宋" w:eastAsia="仿宋" w:hAnsi="仿宋" w:hint="eastAsia"/>
          <w:bCs/>
          <w:sz w:val="28"/>
          <w:szCs w:val="28"/>
        </w:rPr>
        <w:t>持有人</w:t>
      </w:r>
      <w:r w:rsidR="009F6724">
        <w:rPr>
          <w:rFonts w:ascii="仿宋" w:eastAsia="仿宋" w:hAnsi="仿宋" w:hint="eastAsia"/>
          <w:bCs/>
          <w:sz w:val="28"/>
          <w:szCs w:val="28"/>
        </w:rPr>
        <w:t>在变更执行后继续稳定性考察。</w:t>
      </w:r>
    </w:p>
    <w:p w14:paraId="5DD8FD54" w14:textId="77777777" w:rsidR="009F6724" w:rsidRPr="009F6724" w:rsidRDefault="009F6724" w:rsidP="00664BD6">
      <w:pPr>
        <w:spacing w:line="360" w:lineRule="auto"/>
        <w:ind w:firstLineChars="200" w:firstLine="562"/>
        <w:jc w:val="left"/>
        <w:rPr>
          <w:rFonts w:ascii="仿宋" w:eastAsia="仿宋" w:hAnsi="仿宋"/>
          <w:b/>
          <w:sz w:val="28"/>
          <w:szCs w:val="28"/>
        </w:rPr>
      </w:pPr>
      <w:r w:rsidRPr="009F6724">
        <w:rPr>
          <w:rFonts w:ascii="仿宋" w:eastAsia="仿宋" w:hAnsi="仿宋" w:hint="eastAsia"/>
          <w:b/>
          <w:sz w:val="28"/>
          <w:szCs w:val="28"/>
        </w:rPr>
        <w:t>4、关于非临床/临床研究的要求</w:t>
      </w:r>
    </w:p>
    <w:p w14:paraId="687B6E55" w14:textId="7ED2E1E0" w:rsidR="009F6724" w:rsidRPr="00664BD6" w:rsidRDefault="009F6724" w:rsidP="00664BD6">
      <w:pPr>
        <w:spacing w:line="360" w:lineRule="auto"/>
        <w:ind w:firstLineChars="200" w:firstLine="560"/>
        <w:jc w:val="left"/>
        <w:rPr>
          <w:rFonts w:ascii="仿宋" w:eastAsia="仿宋" w:hAnsi="仿宋"/>
          <w:bCs/>
          <w:sz w:val="28"/>
          <w:szCs w:val="28"/>
        </w:rPr>
      </w:pPr>
      <w:r w:rsidRPr="009F6724">
        <w:rPr>
          <w:rFonts w:ascii="仿宋" w:eastAsia="仿宋" w:hAnsi="仿宋" w:hint="eastAsia"/>
          <w:bCs/>
          <w:sz w:val="28"/>
          <w:szCs w:val="28"/>
        </w:rPr>
        <w:t>鉴于生物制品上市后变更的种类繁多、变更影响程度不同，生物制品上市后变更不仅需要进行药学可比性研究，必要时还需要开展非临床</w:t>
      </w:r>
      <w:r w:rsidRPr="009F6724">
        <w:rPr>
          <w:rFonts w:ascii="仿宋" w:eastAsia="仿宋" w:hAnsi="仿宋"/>
          <w:bCs/>
          <w:sz w:val="28"/>
          <w:szCs w:val="28"/>
        </w:rPr>
        <w:t>/</w:t>
      </w:r>
      <w:r w:rsidR="00B101C0">
        <w:rPr>
          <w:rFonts w:ascii="仿宋" w:eastAsia="仿宋" w:hAnsi="仿宋"/>
          <w:bCs/>
          <w:sz w:val="28"/>
          <w:szCs w:val="28"/>
        </w:rPr>
        <w:t>临床可比性研究，以保证变更后产品的安全、有效</w:t>
      </w:r>
      <w:r w:rsidR="00B101C0">
        <w:rPr>
          <w:rFonts w:ascii="仿宋" w:eastAsia="仿宋" w:hAnsi="仿宋" w:hint="eastAsia"/>
          <w:bCs/>
          <w:sz w:val="28"/>
          <w:szCs w:val="28"/>
        </w:rPr>
        <w:t>。</w:t>
      </w:r>
      <w:r w:rsidR="00F413BD">
        <w:rPr>
          <w:rFonts w:ascii="仿宋" w:eastAsia="仿宋" w:hAnsi="仿宋"/>
          <w:bCs/>
          <w:sz w:val="28"/>
          <w:szCs w:val="28"/>
        </w:rPr>
        <w:t>起草小组</w:t>
      </w:r>
      <w:r w:rsidRPr="009F6724">
        <w:rPr>
          <w:rFonts w:ascii="仿宋" w:eastAsia="仿宋" w:hAnsi="仿宋"/>
          <w:bCs/>
          <w:sz w:val="28"/>
          <w:szCs w:val="28"/>
        </w:rPr>
        <w:t>参考了既往审评案例、ICH和WHO等相关指导原则，列举了需要进行非临床/临床可比性研究的变更事项及变更类别，但由于生物制品实际上市后</w:t>
      </w:r>
      <w:r w:rsidR="003522A9">
        <w:rPr>
          <w:rFonts w:ascii="仿宋" w:eastAsia="仿宋" w:hAnsi="仿宋"/>
          <w:bCs/>
          <w:sz w:val="28"/>
          <w:szCs w:val="28"/>
        </w:rPr>
        <w:t>药学</w:t>
      </w:r>
      <w:r w:rsidRPr="009F6724">
        <w:rPr>
          <w:rFonts w:ascii="仿宋" w:eastAsia="仿宋" w:hAnsi="仿宋"/>
          <w:bCs/>
          <w:sz w:val="28"/>
          <w:szCs w:val="28"/>
        </w:rPr>
        <w:t>变更情况复杂，建议申请人基于</w:t>
      </w:r>
      <w:r>
        <w:rPr>
          <w:rFonts w:ascii="仿宋" w:eastAsia="仿宋" w:hAnsi="仿宋" w:hint="eastAsia"/>
          <w:bCs/>
          <w:sz w:val="28"/>
          <w:szCs w:val="28"/>
        </w:rPr>
        <w:t>药学可比性</w:t>
      </w:r>
      <w:r w:rsidRPr="009F6724">
        <w:rPr>
          <w:rFonts w:ascii="仿宋" w:eastAsia="仿宋" w:hAnsi="仿宋"/>
          <w:bCs/>
          <w:sz w:val="28"/>
          <w:szCs w:val="28"/>
        </w:rPr>
        <w:t>研究结果，具体问题具体分析，以确定是否开展非临床/临床可比性研究</w:t>
      </w:r>
      <w:r w:rsidR="00150D30">
        <w:rPr>
          <w:rFonts w:ascii="仿宋" w:eastAsia="仿宋" w:hAnsi="仿宋" w:hint="eastAsia"/>
          <w:bCs/>
          <w:sz w:val="28"/>
          <w:szCs w:val="28"/>
        </w:rPr>
        <w:t>及其</w:t>
      </w:r>
      <w:r w:rsidRPr="009F6724">
        <w:rPr>
          <w:rFonts w:ascii="仿宋" w:eastAsia="仿宋" w:hAnsi="仿宋"/>
          <w:bCs/>
          <w:sz w:val="28"/>
          <w:szCs w:val="28"/>
        </w:rPr>
        <w:t>研究的</w:t>
      </w:r>
      <w:r w:rsidRPr="009F6724">
        <w:rPr>
          <w:rFonts w:ascii="仿宋" w:eastAsia="仿宋" w:hAnsi="仿宋" w:hint="eastAsia"/>
          <w:bCs/>
          <w:sz w:val="28"/>
          <w:szCs w:val="28"/>
        </w:rPr>
        <w:t>程度。</w:t>
      </w:r>
    </w:p>
    <w:p w14:paraId="6244A584" w14:textId="11F7E227" w:rsidR="00004E8C" w:rsidRPr="005B4B86" w:rsidRDefault="005B4B86" w:rsidP="005B4B86">
      <w:pPr>
        <w:ind w:firstLineChars="200" w:firstLine="562"/>
        <w:rPr>
          <w:rFonts w:ascii="仿宋" w:eastAsia="仿宋" w:hAnsi="仿宋"/>
          <w:b/>
          <w:sz w:val="28"/>
          <w:szCs w:val="28"/>
        </w:rPr>
      </w:pPr>
      <w:r>
        <w:rPr>
          <w:rFonts w:ascii="仿宋" w:eastAsia="仿宋" w:hAnsi="仿宋" w:hint="eastAsia"/>
          <w:b/>
          <w:sz w:val="28"/>
          <w:szCs w:val="28"/>
        </w:rPr>
        <w:t>（五</w:t>
      </w:r>
      <w:r>
        <w:rPr>
          <w:rFonts w:ascii="仿宋" w:eastAsia="仿宋" w:hAnsi="仿宋"/>
          <w:b/>
          <w:sz w:val="28"/>
          <w:szCs w:val="28"/>
        </w:rPr>
        <w:t>）</w:t>
      </w:r>
      <w:r w:rsidR="00004E8C" w:rsidRPr="005B4B86">
        <w:rPr>
          <w:rFonts w:ascii="仿宋" w:eastAsia="仿宋" w:hAnsi="仿宋" w:hint="eastAsia"/>
          <w:b/>
          <w:sz w:val="28"/>
          <w:szCs w:val="28"/>
        </w:rPr>
        <w:t>关于变更管理工具的考量</w:t>
      </w:r>
    </w:p>
    <w:p w14:paraId="7E8EB5B5" w14:textId="77777777" w:rsidR="00150D30" w:rsidRDefault="002A0837" w:rsidP="00150D30">
      <w:pPr>
        <w:ind w:firstLineChars="200" w:firstLine="560"/>
        <w:rPr>
          <w:rFonts w:ascii="仿宋" w:eastAsia="仿宋" w:hAnsi="仿宋"/>
          <w:bCs/>
          <w:sz w:val="28"/>
          <w:szCs w:val="28"/>
        </w:rPr>
      </w:pPr>
      <w:r>
        <w:rPr>
          <w:rFonts w:ascii="仿宋" w:eastAsia="仿宋" w:hAnsi="仿宋" w:hint="eastAsia"/>
          <w:bCs/>
          <w:sz w:val="28"/>
          <w:szCs w:val="28"/>
        </w:rPr>
        <w:lastRenderedPageBreak/>
        <w:t>为加强生物制品全生命周期管理，</w:t>
      </w:r>
      <w:r w:rsidR="00FD57E5">
        <w:rPr>
          <w:rFonts w:ascii="仿宋" w:eastAsia="仿宋" w:hAnsi="仿宋" w:hint="eastAsia"/>
          <w:bCs/>
          <w:sz w:val="28"/>
          <w:szCs w:val="28"/>
        </w:rPr>
        <w:t>接轨国际化变更监管进程，</w:t>
      </w:r>
      <w:r>
        <w:rPr>
          <w:rFonts w:ascii="仿宋" w:eastAsia="仿宋" w:hAnsi="仿宋" w:hint="eastAsia"/>
          <w:bCs/>
          <w:sz w:val="28"/>
          <w:szCs w:val="28"/>
        </w:rPr>
        <w:t>使生物制品上市后变更</w:t>
      </w:r>
      <w:r w:rsidR="002B02B7" w:rsidRPr="002B02B7">
        <w:rPr>
          <w:rFonts w:ascii="仿宋" w:eastAsia="仿宋" w:hAnsi="仿宋" w:hint="eastAsia"/>
          <w:bCs/>
          <w:sz w:val="28"/>
          <w:szCs w:val="28"/>
        </w:rPr>
        <w:t>具有可规划性、可预测性和透明度，也有助于解决变更研究与技术审评要求不匹配，过度申报或漏报等问题</w:t>
      </w:r>
      <w:r w:rsidR="002B02B7" w:rsidRPr="002B02B7">
        <w:rPr>
          <w:rFonts w:ascii="仿宋" w:eastAsia="仿宋" w:hAnsi="仿宋"/>
          <w:bCs/>
          <w:sz w:val="28"/>
          <w:szCs w:val="28"/>
        </w:rPr>
        <w:t>,</w:t>
      </w:r>
      <w:r>
        <w:rPr>
          <w:rFonts w:ascii="仿宋" w:eastAsia="仿宋" w:hAnsi="仿宋" w:hint="eastAsia"/>
          <w:bCs/>
          <w:sz w:val="28"/>
          <w:szCs w:val="28"/>
        </w:rPr>
        <w:t>本指导原则引入ICH Q12的上市后变更管理工具（PACMP、ECs），鼓励持有人</w:t>
      </w:r>
      <w:r w:rsidR="002B02B7" w:rsidRPr="002B02B7">
        <w:rPr>
          <w:rFonts w:ascii="仿宋" w:eastAsia="仿宋" w:hAnsi="仿宋"/>
          <w:bCs/>
          <w:sz w:val="28"/>
          <w:szCs w:val="28"/>
        </w:rPr>
        <w:t>在具备充分条件的情形下,</w:t>
      </w:r>
      <w:r>
        <w:rPr>
          <w:rFonts w:ascii="仿宋" w:eastAsia="仿宋" w:hAnsi="仿宋" w:hint="eastAsia"/>
          <w:bCs/>
          <w:sz w:val="28"/>
          <w:szCs w:val="28"/>
        </w:rPr>
        <w:t>自愿选择变更管理工具</w:t>
      </w:r>
      <w:r w:rsidR="00FD57E5">
        <w:rPr>
          <w:rFonts w:ascii="仿宋" w:eastAsia="仿宋" w:hAnsi="仿宋" w:hint="eastAsia"/>
          <w:bCs/>
          <w:sz w:val="28"/>
          <w:szCs w:val="28"/>
        </w:rPr>
        <w:t>，</w:t>
      </w:r>
      <w:r w:rsidR="002B02B7" w:rsidRPr="002B02B7">
        <w:rPr>
          <w:rFonts w:ascii="仿宋" w:eastAsia="仿宋" w:hAnsi="仿宋"/>
          <w:bCs/>
          <w:sz w:val="28"/>
          <w:szCs w:val="28"/>
        </w:rPr>
        <w:t>经约定和批准，可降低变更分类级别，以实现监管操作上的灵活性</w:t>
      </w:r>
      <w:r w:rsidR="00FD57E5">
        <w:rPr>
          <w:rFonts w:ascii="仿宋" w:eastAsia="仿宋" w:hAnsi="仿宋" w:hint="eastAsia"/>
          <w:bCs/>
          <w:sz w:val="28"/>
          <w:szCs w:val="28"/>
        </w:rPr>
        <w:t>。</w:t>
      </w:r>
    </w:p>
    <w:p w14:paraId="43DDCB27" w14:textId="236ACC79" w:rsidR="00BC5F5A" w:rsidRDefault="00150D30" w:rsidP="00150D30">
      <w:pPr>
        <w:ind w:firstLineChars="200" w:firstLine="560"/>
        <w:rPr>
          <w:rFonts w:ascii="仿宋" w:eastAsia="仿宋" w:hAnsi="仿宋"/>
          <w:b/>
          <w:sz w:val="28"/>
          <w:szCs w:val="28"/>
        </w:rPr>
      </w:pPr>
      <w:r>
        <w:rPr>
          <w:rFonts w:ascii="仿宋" w:eastAsia="仿宋" w:hAnsi="仿宋" w:hint="eastAsia"/>
          <w:bCs/>
          <w:sz w:val="28"/>
          <w:szCs w:val="28"/>
        </w:rPr>
        <w:t>（</w:t>
      </w:r>
      <w:r w:rsidR="005B4B86">
        <w:rPr>
          <w:rFonts w:ascii="仿宋" w:eastAsia="仿宋" w:hAnsi="仿宋" w:hint="eastAsia"/>
          <w:b/>
          <w:sz w:val="28"/>
          <w:szCs w:val="28"/>
        </w:rPr>
        <w:t>六</w:t>
      </w:r>
      <w:r>
        <w:rPr>
          <w:rFonts w:ascii="仿宋" w:eastAsia="仿宋" w:hAnsi="仿宋" w:hint="eastAsia"/>
          <w:bCs/>
          <w:sz w:val="28"/>
          <w:szCs w:val="28"/>
        </w:rPr>
        <w:t>）</w:t>
      </w:r>
      <w:r w:rsidR="00BC5F5A">
        <w:rPr>
          <w:rFonts w:ascii="仿宋" w:eastAsia="仿宋" w:hAnsi="仿宋" w:hint="eastAsia"/>
          <w:b/>
          <w:sz w:val="28"/>
          <w:szCs w:val="28"/>
        </w:rPr>
        <w:t>格式修订</w:t>
      </w:r>
    </w:p>
    <w:p w14:paraId="2EC76E50" w14:textId="77777777" w:rsidR="00BC5F5A" w:rsidRPr="00E37BA2" w:rsidRDefault="00E37BA2" w:rsidP="004B1C84">
      <w:pPr>
        <w:ind w:firstLineChars="200" w:firstLine="560"/>
        <w:rPr>
          <w:rFonts w:ascii="仿宋" w:eastAsia="仿宋" w:hAnsi="仿宋"/>
          <w:bCs/>
          <w:sz w:val="28"/>
          <w:szCs w:val="28"/>
        </w:rPr>
      </w:pPr>
      <w:r w:rsidRPr="00E37BA2">
        <w:rPr>
          <w:rFonts w:ascii="仿宋" w:eastAsia="仿宋" w:hAnsi="仿宋" w:hint="eastAsia"/>
          <w:bCs/>
          <w:sz w:val="28"/>
          <w:szCs w:val="28"/>
        </w:rPr>
        <w:t>为了配合C</w:t>
      </w:r>
      <w:r w:rsidRPr="00E37BA2">
        <w:rPr>
          <w:rFonts w:ascii="仿宋" w:eastAsia="仿宋" w:hAnsi="仿宋"/>
          <w:bCs/>
          <w:sz w:val="28"/>
          <w:szCs w:val="28"/>
        </w:rPr>
        <w:t>TD</w:t>
      </w:r>
      <w:r w:rsidR="004B1C84">
        <w:rPr>
          <w:rFonts w:ascii="仿宋" w:eastAsia="仿宋" w:hAnsi="仿宋" w:hint="eastAsia"/>
          <w:bCs/>
          <w:sz w:val="28"/>
          <w:szCs w:val="28"/>
        </w:rPr>
        <w:t>格式</w:t>
      </w:r>
      <w:r w:rsidRPr="00E37BA2">
        <w:rPr>
          <w:rFonts w:ascii="仿宋" w:eastAsia="仿宋" w:hAnsi="仿宋" w:hint="eastAsia"/>
          <w:bCs/>
          <w:sz w:val="28"/>
          <w:szCs w:val="28"/>
        </w:rPr>
        <w:t>的实施，此次修订过程中，</w:t>
      </w:r>
      <w:r w:rsidR="00F413BD">
        <w:rPr>
          <w:rFonts w:ascii="仿宋" w:eastAsia="仿宋" w:hAnsi="仿宋" w:hint="eastAsia"/>
          <w:bCs/>
          <w:sz w:val="28"/>
          <w:szCs w:val="28"/>
        </w:rPr>
        <w:t>起草小组</w:t>
      </w:r>
      <w:r w:rsidRPr="00E37BA2">
        <w:rPr>
          <w:rFonts w:ascii="仿宋" w:eastAsia="仿宋" w:hAnsi="仿宋" w:hint="eastAsia"/>
          <w:bCs/>
          <w:sz w:val="28"/>
          <w:szCs w:val="28"/>
        </w:rPr>
        <w:t>将相</w:t>
      </w:r>
      <w:bookmarkStart w:id="0" w:name="_GoBack"/>
      <w:bookmarkEnd w:id="0"/>
      <w:r w:rsidRPr="00E37BA2">
        <w:rPr>
          <w:rFonts w:ascii="仿宋" w:eastAsia="仿宋" w:hAnsi="仿宋" w:hint="eastAsia"/>
          <w:bCs/>
          <w:sz w:val="28"/>
          <w:szCs w:val="28"/>
        </w:rPr>
        <w:t>关变更事项按照C</w:t>
      </w:r>
      <w:r w:rsidRPr="00E37BA2">
        <w:rPr>
          <w:rFonts w:ascii="仿宋" w:eastAsia="仿宋" w:hAnsi="仿宋"/>
          <w:bCs/>
          <w:sz w:val="28"/>
          <w:szCs w:val="28"/>
        </w:rPr>
        <w:t>TD</w:t>
      </w:r>
      <w:r w:rsidRPr="00E37BA2">
        <w:rPr>
          <w:rFonts w:ascii="仿宋" w:eastAsia="仿宋" w:hAnsi="仿宋" w:hint="eastAsia"/>
          <w:bCs/>
          <w:sz w:val="28"/>
          <w:szCs w:val="28"/>
        </w:rPr>
        <w:t>格式进行了标记，便于申请人未来以C</w:t>
      </w:r>
      <w:r w:rsidRPr="00E37BA2">
        <w:rPr>
          <w:rFonts w:ascii="仿宋" w:eastAsia="仿宋" w:hAnsi="仿宋"/>
          <w:bCs/>
          <w:sz w:val="28"/>
          <w:szCs w:val="28"/>
        </w:rPr>
        <w:t>TD</w:t>
      </w:r>
      <w:r w:rsidR="002B02B7">
        <w:rPr>
          <w:rFonts w:ascii="仿宋" w:eastAsia="仿宋" w:hAnsi="仿宋" w:hint="eastAsia"/>
          <w:bCs/>
          <w:sz w:val="28"/>
          <w:szCs w:val="28"/>
        </w:rPr>
        <w:t>格式进行</w:t>
      </w:r>
      <w:r w:rsidR="00FD57E5">
        <w:rPr>
          <w:rFonts w:ascii="仿宋" w:eastAsia="仿宋" w:hAnsi="仿宋" w:hint="eastAsia"/>
          <w:bCs/>
          <w:sz w:val="28"/>
          <w:szCs w:val="28"/>
        </w:rPr>
        <w:t>变更</w:t>
      </w:r>
      <w:r w:rsidR="002B02B7">
        <w:rPr>
          <w:rFonts w:ascii="仿宋" w:eastAsia="仿宋" w:hAnsi="仿宋" w:hint="eastAsia"/>
          <w:bCs/>
          <w:sz w:val="28"/>
          <w:szCs w:val="28"/>
        </w:rPr>
        <w:t>管理</w:t>
      </w:r>
      <w:r w:rsidR="00FD57E5">
        <w:rPr>
          <w:rFonts w:ascii="仿宋" w:eastAsia="仿宋" w:hAnsi="仿宋" w:hint="eastAsia"/>
          <w:bCs/>
          <w:sz w:val="28"/>
          <w:szCs w:val="28"/>
        </w:rPr>
        <w:t>，后续将</w:t>
      </w:r>
      <w:r w:rsidR="00B101C0">
        <w:rPr>
          <w:rFonts w:ascii="仿宋" w:eastAsia="仿宋" w:hAnsi="仿宋" w:hint="eastAsia"/>
          <w:bCs/>
          <w:sz w:val="28"/>
          <w:szCs w:val="28"/>
        </w:rPr>
        <w:t>有</w:t>
      </w:r>
      <w:r w:rsidR="00FD57E5">
        <w:rPr>
          <w:rFonts w:ascii="仿宋" w:eastAsia="仿宋" w:hAnsi="仿宋" w:hint="eastAsia"/>
          <w:bCs/>
          <w:sz w:val="28"/>
          <w:szCs w:val="28"/>
        </w:rPr>
        <w:t>专门的配套文件指导补充资料CTD格式的实施。</w:t>
      </w:r>
    </w:p>
    <w:p w14:paraId="2771DD62" w14:textId="1BB71764" w:rsidR="007506B8" w:rsidRDefault="007506B8" w:rsidP="00212611">
      <w:pPr>
        <w:spacing w:line="360" w:lineRule="auto"/>
        <w:rPr>
          <w:rFonts w:ascii="仿宋" w:eastAsia="仿宋" w:hAnsi="仿宋"/>
          <w:bCs/>
          <w:sz w:val="28"/>
          <w:szCs w:val="28"/>
        </w:rPr>
      </w:pPr>
    </w:p>
    <w:sectPr w:rsidR="007506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34A6F" w14:textId="77777777" w:rsidR="0059512B" w:rsidRDefault="0059512B" w:rsidP="008E3E7C">
      <w:r>
        <w:separator/>
      </w:r>
    </w:p>
  </w:endnote>
  <w:endnote w:type="continuationSeparator" w:id="0">
    <w:p w14:paraId="0A65ADC8" w14:textId="77777777" w:rsidR="0059512B" w:rsidRDefault="0059512B" w:rsidP="008E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6877F" w14:textId="77777777" w:rsidR="0059512B" w:rsidRDefault="0059512B" w:rsidP="008E3E7C">
      <w:r>
        <w:separator/>
      </w:r>
    </w:p>
  </w:footnote>
  <w:footnote w:type="continuationSeparator" w:id="0">
    <w:p w14:paraId="38D83001" w14:textId="77777777" w:rsidR="0059512B" w:rsidRDefault="0059512B" w:rsidP="008E3E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713AE"/>
    <w:multiLevelType w:val="hybridMultilevel"/>
    <w:tmpl w:val="A6FA5BA6"/>
    <w:lvl w:ilvl="0" w:tplc="B96A87D0">
      <w:start w:val="1"/>
      <w:numFmt w:val="decimal"/>
      <w:lvlText w:val="%1、"/>
      <w:lvlJc w:val="left"/>
      <w:pPr>
        <w:ind w:left="1287"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 w15:restartNumberingAfterBreak="0">
    <w:nsid w:val="7F907FF1"/>
    <w:multiLevelType w:val="hybridMultilevel"/>
    <w:tmpl w:val="3F180960"/>
    <w:lvl w:ilvl="0" w:tplc="3E2ECA10">
      <w:start w:val="1"/>
      <w:numFmt w:val="japaneseCounting"/>
      <w:lvlText w:val="（%1）"/>
      <w:lvlJc w:val="left"/>
      <w:pPr>
        <w:ind w:left="1720" w:hanging="87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AD6"/>
    <w:rsid w:val="00004E8C"/>
    <w:rsid w:val="00021526"/>
    <w:rsid w:val="00034181"/>
    <w:rsid w:val="00056977"/>
    <w:rsid w:val="0006193E"/>
    <w:rsid w:val="00073872"/>
    <w:rsid w:val="000760B8"/>
    <w:rsid w:val="00081FC0"/>
    <w:rsid w:val="000853F5"/>
    <w:rsid w:val="00087EB2"/>
    <w:rsid w:val="0009087E"/>
    <w:rsid w:val="0009230E"/>
    <w:rsid w:val="00095D76"/>
    <w:rsid w:val="000A5D45"/>
    <w:rsid w:val="000B45E2"/>
    <w:rsid w:val="000C2F8B"/>
    <w:rsid w:val="000D2FCD"/>
    <w:rsid w:val="000D3DCB"/>
    <w:rsid w:val="000D5B1E"/>
    <w:rsid w:val="000E5559"/>
    <w:rsid w:val="00116957"/>
    <w:rsid w:val="00121562"/>
    <w:rsid w:val="0012558F"/>
    <w:rsid w:val="00133B4D"/>
    <w:rsid w:val="00133DBD"/>
    <w:rsid w:val="00150D30"/>
    <w:rsid w:val="00154EB2"/>
    <w:rsid w:val="00156C29"/>
    <w:rsid w:val="00162923"/>
    <w:rsid w:val="001633C8"/>
    <w:rsid w:val="001702B9"/>
    <w:rsid w:val="00171904"/>
    <w:rsid w:val="00187D18"/>
    <w:rsid w:val="00193481"/>
    <w:rsid w:val="001A0456"/>
    <w:rsid w:val="001A215B"/>
    <w:rsid w:val="001A2464"/>
    <w:rsid w:val="001B2B91"/>
    <w:rsid w:val="001C226D"/>
    <w:rsid w:val="001C6826"/>
    <w:rsid w:val="001E60F9"/>
    <w:rsid w:val="00212611"/>
    <w:rsid w:val="00216273"/>
    <w:rsid w:val="00221D29"/>
    <w:rsid w:val="00223A3E"/>
    <w:rsid w:val="0022462F"/>
    <w:rsid w:val="002260E7"/>
    <w:rsid w:val="00232679"/>
    <w:rsid w:val="002352CF"/>
    <w:rsid w:val="00241ED6"/>
    <w:rsid w:val="0024221C"/>
    <w:rsid w:val="002428E1"/>
    <w:rsid w:val="002515BA"/>
    <w:rsid w:val="00255BE6"/>
    <w:rsid w:val="00256DDB"/>
    <w:rsid w:val="00262673"/>
    <w:rsid w:val="002639EF"/>
    <w:rsid w:val="00265155"/>
    <w:rsid w:val="0026527E"/>
    <w:rsid w:val="002778C8"/>
    <w:rsid w:val="002A0837"/>
    <w:rsid w:val="002A0BFC"/>
    <w:rsid w:val="002A1797"/>
    <w:rsid w:val="002A7664"/>
    <w:rsid w:val="002A7FD2"/>
    <w:rsid w:val="002B02B7"/>
    <w:rsid w:val="002B1459"/>
    <w:rsid w:val="002C01FF"/>
    <w:rsid w:val="002C3F5A"/>
    <w:rsid w:val="002C40D1"/>
    <w:rsid w:val="002C6610"/>
    <w:rsid w:val="002E5023"/>
    <w:rsid w:val="002F1024"/>
    <w:rsid w:val="002F1DE9"/>
    <w:rsid w:val="00302891"/>
    <w:rsid w:val="003106FD"/>
    <w:rsid w:val="0031436D"/>
    <w:rsid w:val="003213CC"/>
    <w:rsid w:val="00332E24"/>
    <w:rsid w:val="003350AD"/>
    <w:rsid w:val="00341CFF"/>
    <w:rsid w:val="00342BD5"/>
    <w:rsid w:val="00345D99"/>
    <w:rsid w:val="003522A9"/>
    <w:rsid w:val="00353244"/>
    <w:rsid w:val="00360D6B"/>
    <w:rsid w:val="00363DCD"/>
    <w:rsid w:val="003660B6"/>
    <w:rsid w:val="00367A5F"/>
    <w:rsid w:val="00375091"/>
    <w:rsid w:val="00382560"/>
    <w:rsid w:val="00384DC8"/>
    <w:rsid w:val="003A09D7"/>
    <w:rsid w:val="003A2707"/>
    <w:rsid w:val="003A39D3"/>
    <w:rsid w:val="003A6F61"/>
    <w:rsid w:val="003A7277"/>
    <w:rsid w:val="003B2259"/>
    <w:rsid w:val="003B40AD"/>
    <w:rsid w:val="003B6075"/>
    <w:rsid w:val="003C0FA7"/>
    <w:rsid w:val="003D0C61"/>
    <w:rsid w:val="003D1E5C"/>
    <w:rsid w:val="003E49FC"/>
    <w:rsid w:val="003E7B9F"/>
    <w:rsid w:val="003F042E"/>
    <w:rsid w:val="003F2890"/>
    <w:rsid w:val="00404BBA"/>
    <w:rsid w:val="00405BD0"/>
    <w:rsid w:val="004074DC"/>
    <w:rsid w:val="0041057C"/>
    <w:rsid w:val="00422C21"/>
    <w:rsid w:val="00425E37"/>
    <w:rsid w:val="00425F78"/>
    <w:rsid w:val="004277FD"/>
    <w:rsid w:val="0044286B"/>
    <w:rsid w:val="00443C1D"/>
    <w:rsid w:val="0044671B"/>
    <w:rsid w:val="00451C54"/>
    <w:rsid w:val="0046082D"/>
    <w:rsid w:val="0046173F"/>
    <w:rsid w:val="00463D81"/>
    <w:rsid w:val="00467D4A"/>
    <w:rsid w:val="00474602"/>
    <w:rsid w:val="0047577E"/>
    <w:rsid w:val="00481CCB"/>
    <w:rsid w:val="0048447D"/>
    <w:rsid w:val="0049345C"/>
    <w:rsid w:val="004A2287"/>
    <w:rsid w:val="004A5277"/>
    <w:rsid w:val="004A5E0F"/>
    <w:rsid w:val="004A7E4E"/>
    <w:rsid w:val="004B1C84"/>
    <w:rsid w:val="004B20A4"/>
    <w:rsid w:val="004B595C"/>
    <w:rsid w:val="004C3380"/>
    <w:rsid w:val="004C480A"/>
    <w:rsid w:val="004E59AA"/>
    <w:rsid w:val="004F01CD"/>
    <w:rsid w:val="005021DB"/>
    <w:rsid w:val="00506EC2"/>
    <w:rsid w:val="00515394"/>
    <w:rsid w:val="005178F8"/>
    <w:rsid w:val="00523787"/>
    <w:rsid w:val="00525F13"/>
    <w:rsid w:val="0053502B"/>
    <w:rsid w:val="00540736"/>
    <w:rsid w:val="0055078B"/>
    <w:rsid w:val="005653AB"/>
    <w:rsid w:val="00565741"/>
    <w:rsid w:val="005712BB"/>
    <w:rsid w:val="00583101"/>
    <w:rsid w:val="0058410C"/>
    <w:rsid w:val="00586071"/>
    <w:rsid w:val="00594B38"/>
    <w:rsid w:val="0059512B"/>
    <w:rsid w:val="005A3DE1"/>
    <w:rsid w:val="005A77D2"/>
    <w:rsid w:val="005A7D3B"/>
    <w:rsid w:val="005B07F0"/>
    <w:rsid w:val="005B18F3"/>
    <w:rsid w:val="005B206A"/>
    <w:rsid w:val="005B4B86"/>
    <w:rsid w:val="005C0C61"/>
    <w:rsid w:val="005C44DB"/>
    <w:rsid w:val="005C4CED"/>
    <w:rsid w:val="005C7BC0"/>
    <w:rsid w:val="005F1598"/>
    <w:rsid w:val="005F3BCB"/>
    <w:rsid w:val="006038EF"/>
    <w:rsid w:val="00606442"/>
    <w:rsid w:val="00606B09"/>
    <w:rsid w:val="0062054F"/>
    <w:rsid w:val="006224E1"/>
    <w:rsid w:val="00630114"/>
    <w:rsid w:val="00630AEE"/>
    <w:rsid w:val="006323F9"/>
    <w:rsid w:val="006328D6"/>
    <w:rsid w:val="00635BB9"/>
    <w:rsid w:val="00636EE7"/>
    <w:rsid w:val="00647337"/>
    <w:rsid w:val="00664483"/>
    <w:rsid w:val="00664BD6"/>
    <w:rsid w:val="00664F99"/>
    <w:rsid w:val="0066646F"/>
    <w:rsid w:val="0066649F"/>
    <w:rsid w:val="00671236"/>
    <w:rsid w:val="00677A47"/>
    <w:rsid w:val="00683E08"/>
    <w:rsid w:val="00690452"/>
    <w:rsid w:val="00691A0E"/>
    <w:rsid w:val="00693D4B"/>
    <w:rsid w:val="00697A97"/>
    <w:rsid w:val="006A0AE0"/>
    <w:rsid w:val="006A23DC"/>
    <w:rsid w:val="006A3C4B"/>
    <w:rsid w:val="006B03C5"/>
    <w:rsid w:val="006B0A59"/>
    <w:rsid w:val="006B544E"/>
    <w:rsid w:val="006D0B83"/>
    <w:rsid w:val="006D2666"/>
    <w:rsid w:val="006D5FDD"/>
    <w:rsid w:val="006D69F5"/>
    <w:rsid w:val="00701A9B"/>
    <w:rsid w:val="00702982"/>
    <w:rsid w:val="00703324"/>
    <w:rsid w:val="00707412"/>
    <w:rsid w:val="007079F6"/>
    <w:rsid w:val="0071689E"/>
    <w:rsid w:val="007255C3"/>
    <w:rsid w:val="007506B8"/>
    <w:rsid w:val="00752515"/>
    <w:rsid w:val="0076049D"/>
    <w:rsid w:val="00772AFC"/>
    <w:rsid w:val="00776F31"/>
    <w:rsid w:val="007774DB"/>
    <w:rsid w:val="007A6B05"/>
    <w:rsid w:val="007B5C43"/>
    <w:rsid w:val="007B7C72"/>
    <w:rsid w:val="007C338C"/>
    <w:rsid w:val="007D6272"/>
    <w:rsid w:val="007E5AEC"/>
    <w:rsid w:val="007E6710"/>
    <w:rsid w:val="007F18BA"/>
    <w:rsid w:val="007F1A2B"/>
    <w:rsid w:val="00802A31"/>
    <w:rsid w:val="008042F6"/>
    <w:rsid w:val="00804500"/>
    <w:rsid w:val="00813DA4"/>
    <w:rsid w:val="008159DB"/>
    <w:rsid w:val="008170EB"/>
    <w:rsid w:val="008236AD"/>
    <w:rsid w:val="0082586E"/>
    <w:rsid w:val="00827B22"/>
    <w:rsid w:val="0084533A"/>
    <w:rsid w:val="00855977"/>
    <w:rsid w:val="00860611"/>
    <w:rsid w:val="008644F3"/>
    <w:rsid w:val="00864EF1"/>
    <w:rsid w:val="00887D93"/>
    <w:rsid w:val="008A02DF"/>
    <w:rsid w:val="008B4B32"/>
    <w:rsid w:val="008C62BB"/>
    <w:rsid w:val="008D72B5"/>
    <w:rsid w:val="008E1C01"/>
    <w:rsid w:val="008E3E7C"/>
    <w:rsid w:val="008E5CBF"/>
    <w:rsid w:val="008E690E"/>
    <w:rsid w:val="008F07A0"/>
    <w:rsid w:val="008F415E"/>
    <w:rsid w:val="00901818"/>
    <w:rsid w:val="00903FB8"/>
    <w:rsid w:val="00906C9B"/>
    <w:rsid w:val="009155D2"/>
    <w:rsid w:val="009168EA"/>
    <w:rsid w:val="00917CC7"/>
    <w:rsid w:val="009210BB"/>
    <w:rsid w:val="00924E9A"/>
    <w:rsid w:val="009278A8"/>
    <w:rsid w:val="00943A5D"/>
    <w:rsid w:val="00953550"/>
    <w:rsid w:val="009647E5"/>
    <w:rsid w:val="009648AC"/>
    <w:rsid w:val="009653F6"/>
    <w:rsid w:val="0097148D"/>
    <w:rsid w:val="00972564"/>
    <w:rsid w:val="00995B74"/>
    <w:rsid w:val="009A37C8"/>
    <w:rsid w:val="009B22A2"/>
    <w:rsid w:val="009B6FA9"/>
    <w:rsid w:val="009E0D0C"/>
    <w:rsid w:val="009E2133"/>
    <w:rsid w:val="009F17AD"/>
    <w:rsid w:val="009F6724"/>
    <w:rsid w:val="009F6BB7"/>
    <w:rsid w:val="00A058A6"/>
    <w:rsid w:val="00A23A58"/>
    <w:rsid w:val="00A401F8"/>
    <w:rsid w:val="00A4236E"/>
    <w:rsid w:val="00A43168"/>
    <w:rsid w:val="00A4442E"/>
    <w:rsid w:val="00A56489"/>
    <w:rsid w:val="00A60BE1"/>
    <w:rsid w:val="00A616ED"/>
    <w:rsid w:val="00A73FB8"/>
    <w:rsid w:val="00A845C4"/>
    <w:rsid w:val="00AA42F4"/>
    <w:rsid w:val="00AB168F"/>
    <w:rsid w:val="00AB4189"/>
    <w:rsid w:val="00AC1358"/>
    <w:rsid w:val="00AE089E"/>
    <w:rsid w:val="00AE08BF"/>
    <w:rsid w:val="00AE2B07"/>
    <w:rsid w:val="00AF3038"/>
    <w:rsid w:val="00AF4568"/>
    <w:rsid w:val="00B073BA"/>
    <w:rsid w:val="00B101C0"/>
    <w:rsid w:val="00B11F44"/>
    <w:rsid w:val="00B14DDD"/>
    <w:rsid w:val="00B16C8F"/>
    <w:rsid w:val="00B22BD8"/>
    <w:rsid w:val="00B36265"/>
    <w:rsid w:val="00B502AF"/>
    <w:rsid w:val="00B54675"/>
    <w:rsid w:val="00B64CC0"/>
    <w:rsid w:val="00B66DEA"/>
    <w:rsid w:val="00B92F3A"/>
    <w:rsid w:val="00B97D3B"/>
    <w:rsid w:val="00BA1EEA"/>
    <w:rsid w:val="00BA24F3"/>
    <w:rsid w:val="00BB230A"/>
    <w:rsid w:val="00BB37B3"/>
    <w:rsid w:val="00BB39B1"/>
    <w:rsid w:val="00BB5A7B"/>
    <w:rsid w:val="00BC51AF"/>
    <w:rsid w:val="00BC5F5A"/>
    <w:rsid w:val="00BC7262"/>
    <w:rsid w:val="00BE09AE"/>
    <w:rsid w:val="00C01425"/>
    <w:rsid w:val="00C01AE4"/>
    <w:rsid w:val="00C041C5"/>
    <w:rsid w:val="00C05DE7"/>
    <w:rsid w:val="00C10FDE"/>
    <w:rsid w:val="00C12C76"/>
    <w:rsid w:val="00C1426B"/>
    <w:rsid w:val="00C27120"/>
    <w:rsid w:val="00C3351E"/>
    <w:rsid w:val="00C354EB"/>
    <w:rsid w:val="00C378BB"/>
    <w:rsid w:val="00C448E8"/>
    <w:rsid w:val="00C47266"/>
    <w:rsid w:val="00C60576"/>
    <w:rsid w:val="00C7228D"/>
    <w:rsid w:val="00C80D33"/>
    <w:rsid w:val="00C81388"/>
    <w:rsid w:val="00C841CC"/>
    <w:rsid w:val="00C90561"/>
    <w:rsid w:val="00CA5836"/>
    <w:rsid w:val="00CC62CB"/>
    <w:rsid w:val="00CC76CA"/>
    <w:rsid w:val="00CC780B"/>
    <w:rsid w:val="00CD7355"/>
    <w:rsid w:val="00CF1C7B"/>
    <w:rsid w:val="00CF46D2"/>
    <w:rsid w:val="00D065EB"/>
    <w:rsid w:val="00D243D8"/>
    <w:rsid w:val="00D30CCF"/>
    <w:rsid w:val="00D32515"/>
    <w:rsid w:val="00D33A0F"/>
    <w:rsid w:val="00D33A89"/>
    <w:rsid w:val="00D421F8"/>
    <w:rsid w:val="00D5037B"/>
    <w:rsid w:val="00D5050F"/>
    <w:rsid w:val="00D53890"/>
    <w:rsid w:val="00D63C5F"/>
    <w:rsid w:val="00D66496"/>
    <w:rsid w:val="00D70B8F"/>
    <w:rsid w:val="00D725E1"/>
    <w:rsid w:val="00D77343"/>
    <w:rsid w:val="00D7736A"/>
    <w:rsid w:val="00D81877"/>
    <w:rsid w:val="00D95260"/>
    <w:rsid w:val="00DC6D37"/>
    <w:rsid w:val="00DE1A54"/>
    <w:rsid w:val="00DF3984"/>
    <w:rsid w:val="00E10D98"/>
    <w:rsid w:val="00E11CBB"/>
    <w:rsid w:val="00E252C8"/>
    <w:rsid w:val="00E329E0"/>
    <w:rsid w:val="00E37BA2"/>
    <w:rsid w:val="00E63D58"/>
    <w:rsid w:val="00E641AF"/>
    <w:rsid w:val="00E66630"/>
    <w:rsid w:val="00E71078"/>
    <w:rsid w:val="00E82480"/>
    <w:rsid w:val="00E83567"/>
    <w:rsid w:val="00EB1CA6"/>
    <w:rsid w:val="00EB3B80"/>
    <w:rsid w:val="00EC393D"/>
    <w:rsid w:val="00EC4AD6"/>
    <w:rsid w:val="00ED1F6D"/>
    <w:rsid w:val="00ED7E96"/>
    <w:rsid w:val="00EE4E70"/>
    <w:rsid w:val="00EF0587"/>
    <w:rsid w:val="00EF4443"/>
    <w:rsid w:val="00EF46F2"/>
    <w:rsid w:val="00EF6665"/>
    <w:rsid w:val="00F00841"/>
    <w:rsid w:val="00F06D30"/>
    <w:rsid w:val="00F14345"/>
    <w:rsid w:val="00F1788A"/>
    <w:rsid w:val="00F413BD"/>
    <w:rsid w:val="00F47524"/>
    <w:rsid w:val="00F47841"/>
    <w:rsid w:val="00F576EC"/>
    <w:rsid w:val="00F62217"/>
    <w:rsid w:val="00F70318"/>
    <w:rsid w:val="00F73BE0"/>
    <w:rsid w:val="00F82632"/>
    <w:rsid w:val="00F834F2"/>
    <w:rsid w:val="00FC00DB"/>
    <w:rsid w:val="00FD57E5"/>
    <w:rsid w:val="00FD5D21"/>
    <w:rsid w:val="00FE531C"/>
    <w:rsid w:val="00FE7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ECB61"/>
  <w15:docId w15:val="{B21FC1A3-59FF-424B-B8D1-FE844BE0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E7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3E7C"/>
    <w:rPr>
      <w:sz w:val="18"/>
      <w:szCs w:val="18"/>
    </w:rPr>
  </w:style>
  <w:style w:type="paragraph" w:styleId="a5">
    <w:name w:val="footer"/>
    <w:basedOn w:val="a"/>
    <w:link w:val="a6"/>
    <w:uiPriority w:val="99"/>
    <w:unhideWhenUsed/>
    <w:rsid w:val="008E3E7C"/>
    <w:pPr>
      <w:tabs>
        <w:tab w:val="center" w:pos="4153"/>
        <w:tab w:val="right" w:pos="8306"/>
      </w:tabs>
      <w:snapToGrid w:val="0"/>
      <w:jc w:val="left"/>
    </w:pPr>
    <w:rPr>
      <w:sz w:val="18"/>
      <w:szCs w:val="18"/>
    </w:rPr>
  </w:style>
  <w:style w:type="character" w:customStyle="1" w:styleId="a6">
    <w:name w:val="页脚 字符"/>
    <w:basedOn w:val="a0"/>
    <w:link w:val="a5"/>
    <w:uiPriority w:val="99"/>
    <w:rsid w:val="008E3E7C"/>
    <w:rPr>
      <w:sz w:val="18"/>
      <w:szCs w:val="18"/>
    </w:rPr>
  </w:style>
  <w:style w:type="paragraph" w:styleId="a7">
    <w:name w:val="List Paragraph"/>
    <w:basedOn w:val="a"/>
    <w:uiPriority w:val="34"/>
    <w:qFormat/>
    <w:rsid w:val="00BB5A7B"/>
    <w:pPr>
      <w:ind w:firstLineChars="200" w:firstLine="420"/>
    </w:pPr>
  </w:style>
  <w:style w:type="paragraph" w:styleId="a8">
    <w:name w:val="Balloon Text"/>
    <w:basedOn w:val="a"/>
    <w:link w:val="a9"/>
    <w:uiPriority w:val="99"/>
    <w:semiHidden/>
    <w:unhideWhenUsed/>
    <w:rsid w:val="00A4442E"/>
    <w:rPr>
      <w:sz w:val="18"/>
      <w:szCs w:val="18"/>
    </w:rPr>
  </w:style>
  <w:style w:type="character" w:customStyle="1" w:styleId="a9">
    <w:name w:val="批注框文本 字符"/>
    <w:basedOn w:val="a0"/>
    <w:link w:val="a8"/>
    <w:uiPriority w:val="99"/>
    <w:semiHidden/>
    <w:rsid w:val="00A4442E"/>
    <w:rPr>
      <w:sz w:val="18"/>
      <w:szCs w:val="18"/>
    </w:rPr>
  </w:style>
  <w:style w:type="character" w:styleId="aa">
    <w:name w:val="annotation reference"/>
    <w:basedOn w:val="a0"/>
    <w:uiPriority w:val="99"/>
    <w:semiHidden/>
    <w:unhideWhenUsed/>
    <w:rsid w:val="00FE531C"/>
    <w:rPr>
      <w:sz w:val="21"/>
      <w:szCs w:val="21"/>
    </w:rPr>
  </w:style>
  <w:style w:type="paragraph" w:styleId="ab">
    <w:name w:val="annotation text"/>
    <w:basedOn w:val="a"/>
    <w:link w:val="ac"/>
    <w:uiPriority w:val="99"/>
    <w:semiHidden/>
    <w:unhideWhenUsed/>
    <w:rsid w:val="00FE531C"/>
    <w:pPr>
      <w:jc w:val="left"/>
    </w:pPr>
  </w:style>
  <w:style w:type="character" w:customStyle="1" w:styleId="ac">
    <w:name w:val="批注文字 字符"/>
    <w:basedOn w:val="a0"/>
    <w:link w:val="ab"/>
    <w:uiPriority w:val="99"/>
    <w:semiHidden/>
    <w:rsid w:val="00FE531C"/>
  </w:style>
  <w:style w:type="paragraph" w:styleId="ad">
    <w:name w:val="annotation subject"/>
    <w:basedOn w:val="ab"/>
    <w:next w:val="ab"/>
    <w:link w:val="ae"/>
    <w:uiPriority w:val="99"/>
    <w:semiHidden/>
    <w:unhideWhenUsed/>
    <w:rsid w:val="00FE531C"/>
    <w:rPr>
      <w:b/>
      <w:bCs/>
    </w:rPr>
  </w:style>
  <w:style w:type="character" w:customStyle="1" w:styleId="ae">
    <w:name w:val="批注主题 字符"/>
    <w:basedOn w:val="ac"/>
    <w:link w:val="ad"/>
    <w:uiPriority w:val="99"/>
    <w:semiHidden/>
    <w:rsid w:val="00FE53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443</Words>
  <Characters>2526</Characters>
  <Application>Microsoft Office Word</Application>
  <DocSecurity>0</DocSecurity>
  <Lines>21</Lines>
  <Paragraphs>5</Paragraphs>
  <ScaleCrop>false</ScaleCrop>
  <Company>Microsoft</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邱晓</dc:creator>
  <cp:keywords/>
  <dc:description/>
  <cp:lastModifiedBy>邱晓</cp:lastModifiedBy>
  <cp:revision>10</cp:revision>
  <cp:lastPrinted>2019-11-08T02:20:00Z</cp:lastPrinted>
  <dcterms:created xsi:type="dcterms:W3CDTF">2019-11-06T04:10:00Z</dcterms:created>
  <dcterms:modified xsi:type="dcterms:W3CDTF">2019-11-08T02:22:00Z</dcterms:modified>
</cp:coreProperties>
</file>