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4C9BE">
      <w:pPr>
        <w:spacing w:line="594" w:lineRule="exact"/>
        <w:jc w:val="left"/>
        <w:outlineLvl w:val="0"/>
        <w:rPr>
          <w:rFonts w:hint="eastAsia" w:ascii="黑体" w:hAnsi="黑体" w:eastAsia="黑体" w:cs="黑体"/>
          <w:kern w:val="0"/>
          <w:sz w:val="44"/>
          <w:szCs w:val="44"/>
        </w:rPr>
      </w:pPr>
      <w:bookmarkStart w:id="0" w:name="_GoBack"/>
      <w:bookmarkEnd w:id="0"/>
      <w:r>
        <w:rPr>
          <w:rFonts w:hint="eastAsia" w:ascii="黑体" w:hAnsi="黑体" w:eastAsia="黑体" w:cs="黑体"/>
          <w:kern w:val="0"/>
          <w:sz w:val="32"/>
          <w:szCs w:val="32"/>
        </w:rPr>
        <w:t>附件1</w:t>
      </w:r>
    </w:p>
    <w:p w14:paraId="5E7E128B">
      <w:pPr>
        <w:spacing w:line="594" w:lineRule="exact"/>
        <w:jc w:val="center"/>
        <w:outlineLvl w:val="0"/>
        <w:rPr>
          <w:rFonts w:eastAsia="方正小标宋简体"/>
          <w:kern w:val="0"/>
          <w:sz w:val="44"/>
          <w:szCs w:val="44"/>
        </w:rPr>
      </w:pPr>
    </w:p>
    <w:p w14:paraId="0D1ECC42">
      <w:pPr>
        <w:spacing w:line="594" w:lineRule="exact"/>
        <w:jc w:val="center"/>
        <w:outlineLvl w:val="0"/>
        <w:rPr>
          <w:rFonts w:eastAsia="方正小标宋简体"/>
          <w:kern w:val="0"/>
          <w:sz w:val="44"/>
          <w:szCs w:val="44"/>
        </w:rPr>
      </w:pPr>
      <w:r>
        <w:rPr>
          <w:rFonts w:eastAsia="方正小标宋简体"/>
          <w:kern w:val="0"/>
          <w:sz w:val="44"/>
          <w:szCs w:val="44"/>
        </w:rPr>
        <w:t>境内生产药品再注册申报程序</w:t>
      </w:r>
    </w:p>
    <w:p w14:paraId="043C4803">
      <w:pPr>
        <w:spacing w:line="594" w:lineRule="exact"/>
        <w:ind w:firstLine="640" w:firstLineChars="200"/>
        <w:jc w:val="center"/>
        <w:outlineLvl w:val="0"/>
        <w:rPr>
          <w:rFonts w:eastAsia="黑体"/>
          <w:kern w:val="0"/>
          <w:sz w:val="32"/>
          <w:szCs w:val="32"/>
        </w:rPr>
      </w:pPr>
    </w:p>
    <w:p w14:paraId="6FE3079B">
      <w:pPr>
        <w:spacing w:line="594" w:lineRule="exact"/>
        <w:ind w:firstLine="640" w:firstLineChars="200"/>
        <w:outlineLvl w:val="1"/>
        <w:rPr>
          <w:rFonts w:eastAsia="黑体"/>
          <w:kern w:val="0"/>
          <w:sz w:val="32"/>
          <w:szCs w:val="32"/>
        </w:rPr>
      </w:pPr>
      <w:r>
        <w:rPr>
          <w:rFonts w:eastAsia="黑体"/>
          <w:kern w:val="0"/>
          <w:sz w:val="32"/>
          <w:szCs w:val="32"/>
        </w:rPr>
        <w:t>一、申请</w:t>
      </w:r>
    </w:p>
    <w:p w14:paraId="5AF0A612">
      <w:pPr>
        <w:spacing w:line="594" w:lineRule="exact"/>
        <w:ind w:firstLine="640" w:firstLineChars="200"/>
        <w:rPr>
          <w:rFonts w:hint="eastAsia" w:eastAsia="仿宋_GB2312"/>
          <w:kern w:val="0"/>
          <w:sz w:val="32"/>
          <w:szCs w:val="32"/>
        </w:rPr>
      </w:pPr>
      <w:r>
        <w:rPr>
          <w:rFonts w:eastAsia="仿宋_GB2312"/>
          <w:kern w:val="0"/>
          <w:sz w:val="32"/>
          <w:szCs w:val="32"/>
        </w:rPr>
        <w:t>境内生产药品上市许可持有人和化学原料药登记人（以下称“申请人”）应当在药品批准证明文件（包括药品注册证书、化学原料药批准通知书、药品再注册批准通知书等，下同）有效期届满前</w:t>
      </w:r>
      <w:r>
        <w:rPr>
          <w:rFonts w:hint="eastAsia" w:eastAsia="仿宋_GB2312"/>
          <w:kern w:val="0"/>
          <w:sz w:val="32"/>
          <w:szCs w:val="32"/>
        </w:rPr>
        <w:t>12</w:t>
      </w:r>
      <w:r>
        <w:rPr>
          <w:rFonts w:eastAsia="仿宋_GB2312"/>
          <w:kern w:val="0"/>
          <w:sz w:val="32"/>
          <w:szCs w:val="32"/>
        </w:rPr>
        <w:t>个月至</w:t>
      </w:r>
      <w:r>
        <w:rPr>
          <w:rFonts w:hint="eastAsia" w:eastAsia="仿宋_GB2312"/>
          <w:kern w:val="0"/>
          <w:sz w:val="32"/>
          <w:szCs w:val="32"/>
        </w:rPr>
        <w:t>6</w:t>
      </w:r>
      <w:r>
        <w:rPr>
          <w:rFonts w:eastAsia="仿宋_GB2312"/>
          <w:kern w:val="0"/>
          <w:sz w:val="32"/>
          <w:szCs w:val="32"/>
        </w:rPr>
        <w:t>个月期间，通过国家药品监督管理局（以下简称“国家局”）网上办事大厅（https://zwfw.nmpa.gov.cn）在线提交药品再注册申请，生成药品再注册申请表，并提交</w:t>
      </w:r>
      <w:r>
        <w:rPr>
          <w:rFonts w:hint="eastAsia" w:eastAsia="仿宋_GB2312"/>
          <w:kern w:val="0"/>
          <w:sz w:val="32"/>
          <w:szCs w:val="32"/>
        </w:rPr>
        <w:t>符合</w:t>
      </w:r>
      <w:r>
        <w:rPr>
          <w:rFonts w:eastAsia="仿宋_GB2312"/>
          <w:kern w:val="0"/>
          <w:sz w:val="32"/>
          <w:szCs w:val="32"/>
        </w:rPr>
        <w:t>规定格式要求的药品再注册申报资料。</w:t>
      </w:r>
    </w:p>
    <w:p w14:paraId="02E35D0B">
      <w:pPr>
        <w:spacing w:line="594" w:lineRule="exact"/>
        <w:ind w:firstLine="640" w:firstLineChars="200"/>
        <w:rPr>
          <w:rFonts w:eastAsia="仿宋_GB2312"/>
          <w:kern w:val="0"/>
          <w:sz w:val="32"/>
          <w:szCs w:val="32"/>
        </w:rPr>
      </w:pPr>
      <w:r>
        <w:rPr>
          <w:rFonts w:eastAsia="仿宋_GB2312"/>
          <w:kern w:val="0"/>
          <w:sz w:val="32"/>
          <w:szCs w:val="32"/>
        </w:rPr>
        <w:t>药品再注册申请中不能同时申请药品上市后变更事项。如需要变更的，应当</w:t>
      </w:r>
      <w:r>
        <w:rPr>
          <w:rFonts w:hint="eastAsia" w:eastAsia="仿宋_GB2312"/>
          <w:kern w:val="0"/>
          <w:sz w:val="32"/>
          <w:szCs w:val="32"/>
        </w:rPr>
        <w:t>按照</w:t>
      </w:r>
      <w:r>
        <w:rPr>
          <w:rFonts w:eastAsia="仿宋_GB2312"/>
          <w:kern w:val="0"/>
          <w:sz w:val="32"/>
          <w:szCs w:val="32"/>
        </w:rPr>
        <w:t>药品上市后变更管理的要求另行申报补充申请、备案或者报告。</w:t>
      </w:r>
    </w:p>
    <w:p w14:paraId="64D4436C">
      <w:pPr>
        <w:spacing w:line="594" w:lineRule="exact"/>
        <w:ind w:firstLine="640" w:firstLineChars="200"/>
        <w:outlineLvl w:val="1"/>
        <w:rPr>
          <w:rFonts w:eastAsia="黑体"/>
          <w:kern w:val="0"/>
          <w:sz w:val="32"/>
          <w:szCs w:val="32"/>
        </w:rPr>
      </w:pPr>
      <w:r>
        <w:rPr>
          <w:rFonts w:eastAsia="黑体"/>
          <w:kern w:val="0"/>
          <w:sz w:val="32"/>
          <w:szCs w:val="32"/>
        </w:rPr>
        <w:t>二、受理</w:t>
      </w:r>
    </w:p>
    <w:p w14:paraId="6BBE3291">
      <w:pPr>
        <w:spacing w:line="594" w:lineRule="exact"/>
        <w:ind w:firstLine="640" w:firstLineChars="200"/>
        <w:rPr>
          <w:rFonts w:eastAsia="仿宋_GB2312"/>
          <w:kern w:val="0"/>
          <w:sz w:val="32"/>
          <w:szCs w:val="32"/>
        </w:rPr>
      </w:pPr>
      <w:r>
        <w:rPr>
          <w:rFonts w:eastAsia="仿宋_GB2312"/>
          <w:kern w:val="0"/>
          <w:sz w:val="32"/>
          <w:szCs w:val="32"/>
        </w:rPr>
        <w:t>各省、自治区、直辖市药品监督管理部门（以下简称“</w:t>
      </w:r>
      <w:r>
        <w:rPr>
          <w:rFonts w:hint="eastAsia" w:eastAsia="仿宋_GB2312"/>
          <w:kern w:val="0"/>
          <w:sz w:val="32"/>
          <w:szCs w:val="32"/>
        </w:rPr>
        <w:t>省级药品监督管理部门</w:t>
      </w:r>
      <w:r>
        <w:rPr>
          <w:rFonts w:eastAsia="仿宋_GB2312"/>
          <w:kern w:val="0"/>
          <w:sz w:val="32"/>
          <w:szCs w:val="32"/>
        </w:rPr>
        <w:t>”）应当在</w:t>
      </w:r>
      <w:r>
        <w:rPr>
          <w:rFonts w:hint="eastAsia" w:eastAsia="仿宋_GB2312"/>
          <w:kern w:val="0"/>
          <w:sz w:val="32"/>
          <w:szCs w:val="32"/>
        </w:rPr>
        <w:t>5</w:t>
      </w:r>
      <w:r>
        <w:rPr>
          <w:rFonts w:eastAsia="仿宋_GB2312"/>
          <w:kern w:val="0"/>
          <w:sz w:val="32"/>
          <w:szCs w:val="32"/>
        </w:rPr>
        <w:t>日内（工作日，下同）对药品再注册申请表和申报资料进行形式审查。药品再注册申请表和申报资料齐全、符合法定形式的，予以受理。药品再注册申请表或者申报资料不符合要求的，应当在</w:t>
      </w:r>
      <w:r>
        <w:rPr>
          <w:rFonts w:hint="eastAsia" w:eastAsia="仿宋_GB2312"/>
          <w:kern w:val="0"/>
          <w:sz w:val="32"/>
          <w:szCs w:val="32"/>
        </w:rPr>
        <w:t>5</w:t>
      </w:r>
      <w:r>
        <w:rPr>
          <w:rFonts w:eastAsia="仿宋_GB2312"/>
          <w:kern w:val="0"/>
          <w:sz w:val="32"/>
          <w:szCs w:val="32"/>
        </w:rPr>
        <w:t>日内一次性告知申请人需要补正的全部内容，出具补正通知书。申请人应当在</w:t>
      </w:r>
      <w:r>
        <w:rPr>
          <w:rFonts w:hint="eastAsia" w:eastAsia="仿宋_GB2312"/>
          <w:kern w:val="0"/>
          <w:sz w:val="32"/>
          <w:szCs w:val="32"/>
        </w:rPr>
        <w:t>30</w:t>
      </w:r>
      <w:r>
        <w:rPr>
          <w:rFonts w:eastAsia="仿宋_GB2312"/>
          <w:kern w:val="0"/>
          <w:sz w:val="32"/>
          <w:szCs w:val="32"/>
        </w:rPr>
        <w:t>日内完成补正资料，补正后资料齐全、符合法定形式的，予以受理；补正后仍不符合要求的，不予受理。申请人无正当理由逾期不补正的，视为放弃申请，</w:t>
      </w:r>
      <w:r>
        <w:rPr>
          <w:rFonts w:hint="eastAsia" w:eastAsia="仿宋_GB2312"/>
          <w:kern w:val="0"/>
          <w:sz w:val="32"/>
          <w:szCs w:val="32"/>
        </w:rPr>
        <w:t>省级药品监督管理部门</w:t>
      </w:r>
      <w:r>
        <w:rPr>
          <w:rFonts w:eastAsia="仿宋_GB2312"/>
          <w:kern w:val="0"/>
          <w:sz w:val="32"/>
          <w:szCs w:val="32"/>
        </w:rPr>
        <w:t>无需作出不予受理的决定。</w:t>
      </w:r>
      <w:r>
        <w:rPr>
          <w:rFonts w:hint="eastAsia" w:eastAsia="仿宋_GB2312"/>
          <w:kern w:val="0"/>
          <w:sz w:val="32"/>
          <w:szCs w:val="32"/>
        </w:rPr>
        <w:t>省级药品监督管理部门</w:t>
      </w:r>
      <w:r>
        <w:rPr>
          <w:rFonts w:eastAsia="仿宋_GB2312"/>
          <w:kern w:val="0"/>
          <w:sz w:val="32"/>
          <w:szCs w:val="32"/>
        </w:rPr>
        <w:t>逾期未告知申请人补正的，自收到药品再注册申请表和申报资料之日起即为受理。</w:t>
      </w:r>
    </w:p>
    <w:p w14:paraId="40166E73">
      <w:pPr>
        <w:spacing w:line="594" w:lineRule="exact"/>
        <w:ind w:firstLine="640" w:firstLineChars="200"/>
        <w:rPr>
          <w:rFonts w:eastAsia="仿宋_GB2312"/>
          <w:kern w:val="0"/>
          <w:sz w:val="32"/>
          <w:szCs w:val="32"/>
        </w:rPr>
      </w:pPr>
      <w:r>
        <w:rPr>
          <w:rFonts w:eastAsia="仿宋_GB2312"/>
          <w:kern w:val="0"/>
          <w:sz w:val="32"/>
          <w:szCs w:val="32"/>
        </w:rPr>
        <w:t>予以受理的，发给《药品/化学原料药再注册申请受理通知书》和《药品/化学原料药再注册审批缴费通知书》，申请人应当在规定时限内缴纳费用；不予受理的，发给《药品/化学原料药再注册申请不予受理告知书》，并说明理由。</w:t>
      </w:r>
    </w:p>
    <w:p w14:paraId="7639FFB2">
      <w:pPr>
        <w:spacing w:line="594" w:lineRule="exact"/>
        <w:ind w:firstLine="640" w:firstLineChars="200"/>
        <w:outlineLvl w:val="1"/>
        <w:rPr>
          <w:rFonts w:eastAsia="黑体"/>
          <w:kern w:val="0"/>
          <w:sz w:val="32"/>
          <w:szCs w:val="32"/>
        </w:rPr>
      </w:pPr>
      <w:r>
        <w:rPr>
          <w:rFonts w:eastAsia="黑体"/>
          <w:kern w:val="0"/>
          <w:sz w:val="32"/>
          <w:szCs w:val="32"/>
        </w:rPr>
        <w:t>三、审查审批</w:t>
      </w:r>
    </w:p>
    <w:p w14:paraId="3012AC23">
      <w:pPr>
        <w:spacing w:line="594" w:lineRule="exact"/>
        <w:ind w:firstLine="640" w:firstLineChars="200"/>
        <w:rPr>
          <w:rFonts w:eastAsia="仿宋_GB2312"/>
          <w:kern w:val="0"/>
          <w:sz w:val="32"/>
          <w:szCs w:val="32"/>
        </w:rPr>
      </w:pPr>
      <w:r>
        <w:rPr>
          <w:rFonts w:eastAsia="仿宋_GB2312"/>
          <w:kern w:val="0"/>
          <w:sz w:val="32"/>
          <w:szCs w:val="32"/>
        </w:rPr>
        <w:t>药品再注册审查审批时限为</w:t>
      </w:r>
      <w:r>
        <w:rPr>
          <w:rFonts w:hint="eastAsia" w:eastAsia="仿宋_GB2312"/>
          <w:kern w:val="0"/>
          <w:sz w:val="32"/>
          <w:szCs w:val="32"/>
        </w:rPr>
        <w:t>120</w:t>
      </w:r>
      <w:r>
        <w:rPr>
          <w:rFonts w:eastAsia="仿宋_GB2312"/>
          <w:kern w:val="0"/>
          <w:sz w:val="32"/>
          <w:szCs w:val="32"/>
        </w:rPr>
        <w:t>日。</w:t>
      </w:r>
      <w:r>
        <w:rPr>
          <w:rFonts w:hint="eastAsia" w:eastAsia="仿宋_GB2312"/>
          <w:kern w:val="0"/>
          <w:sz w:val="32"/>
          <w:szCs w:val="32"/>
        </w:rPr>
        <w:t>省级药品监督管理部门</w:t>
      </w:r>
      <w:r>
        <w:rPr>
          <w:rFonts w:eastAsia="仿宋_GB2312"/>
          <w:kern w:val="0"/>
          <w:sz w:val="32"/>
          <w:szCs w:val="32"/>
        </w:rPr>
        <w:t>应当在受理后</w:t>
      </w:r>
      <w:r>
        <w:rPr>
          <w:rFonts w:hint="eastAsia" w:eastAsia="仿宋_GB2312"/>
          <w:kern w:val="0"/>
          <w:sz w:val="32"/>
          <w:szCs w:val="32"/>
        </w:rPr>
        <w:t>100</w:t>
      </w:r>
      <w:r>
        <w:rPr>
          <w:rFonts w:eastAsia="仿宋_GB2312"/>
          <w:kern w:val="0"/>
          <w:sz w:val="32"/>
          <w:szCs w:val="32"/>
        </w:rPr>
        <w:t>日内完成审查，审查结束后</w:t>
      </w:r>
      <w:r>
        <w:rPr>
          <w:rFonts w:hint="eastAsia" w:eastAsia="仿宋_GB2312"/>
          <w:kern w:val="0"/>
          <w:sz w:val="32"/>
          <w:szCs w:val="32"/>
        </w:rPr>
        <w:t>20</w:t>
      </w:r>
      <w:r>
        <w:rPr>
          <w:rFonts w:eastAsia="仿宋_GB2312"/>
          <w:kern w:val="0"/>
          <w:sz w:val="32"/>
          <w:szCs w:val="32"/>
        </w:rPr>
        <w:t>日内完成审批。</w:t>
      </w:r>
    </w:p>
    <w:p w14:paraId="74B1932E">
      <w:pPr>
        <w:spacing w:line="594" w:lineRule="exact"/>
        <w:ind w:firstLine="640" w:firstLineChars="200"/>
        <w:rPr>
          <w:rFonts w:eastAsia="仿宋_GB2312"/>
          <w:kern w:val="0"/>
          <w:sz w:val="32"/>
          <w:szCs w:val="32"/>
        </w:rPr>
      </w:pPr>
      <w:r>
        <w:rPr>
          <w:rFonts w:eastAsia="仿宋_GB2312"/>
          <w:kern w:val="0"/>
          <w:sz w:val="32"/>
          <w:szCs w:val="32"/>
        </w:rPr>
        <w:t>如需申请人在原申报资料基础上补充新的资料的，</w:t>
      </w:r>
      <w:r>
        <w:rPr>
          <w:rFonts w:hint="eastAsia" w:eastAsia="仿宋_GB2312"/>
          <w:kern w:val="0"/>
          <w:sz w:val="32"/>
          <w:szCs w:val="32"/>
        </w:rPr>
        <w:t>省级药品监督管理部门</w:t>
      </w:r>
      <w:r>
        <w:rPr>
          <w:rFonts w:eastAsia="仿宋_GB2312"/>
          <w:kern w:val="0"/>
          <w:sz w:val="32"/>
          <w:szCs w:val="32"/>
        </w:rPr>
        <w:t>原则上可以提出一次补充资料要求，列明全部问题并以书面方式通知申请人。申请人应当在</w:t>
      </w:r>
      <w:r>
        <w:rPr>
          <w:rFonts w:hint="eastAsia" w:eastAsia="仿宋_GB2312"/>
          <w:kern w:val="0"/>
          <w:sz w:val="32"/>
          <w:szCs w:val="32"/>
        </w:rPr>
        <w:t>40</w:t>
      </w:r>
      <w:r>
        <w:rPr>
          <w:rFonts w:eastAsia="仿宋_GB2312"/>
          <w:kern w:val="0"/>
          <w:sz w:val="32"/>
          <w:szCs w:val="32"/>
        </w:rPr>
        <w:t>日内一次性提交全部补充资料，补充资料时间不计入审查时限。收到补充资料后，</w:t>
      </w:r>
      <w:r>
        <w:rPr>
          <w:rFonts w:hint="eastAsia" w:eastAsia="仿宋_GB2312"/>
          <w:kern w:val="0"/>
          <w:sz w:val="32"/>
          <w:szCs w:val="32"/>
        </w:rPr>
        <w:t>省级药品监督管理部门</w:t>
      </w:r>
      <w:r>
        <w:rPr>
          <w:rFonts w:eastAsia="仿宋_GB2312"/>
          <w:kern w:val="0"/>
          <w:sz w:val="32"/>
          <w:szCs w:val="32"/>
        </w:rPr>
        <w:t>继续启动审查。</w:t>
      </w:r>
    </w:p>
    <w:p w14:paraId="424DCBA1">
      <w:pPr>
        <w:spacing w:line="594" w:lineRule="exact"/>
        <w:ind w:firstLine="640" w:firstLineChars="200"/>
        <w:rPr>
          <w:rFonts w:eastAsia="仿宋_GB2312"/>
          <w:kern w:val="0"/>
          <w:sz w:val="32"/>
          <w:szCs w:val="32"/>
        </w:rPr>
      </w:pPr>
      <w:r>
        <w:rPr>
          <w:rFonts w:eastAsia="仿宋_GB2312"/>
          <w:kern w:val="0"/>
          <w:sz w:val="32"/>
          <w:szCs w:val="32"/>
        </w:rPr>
        <w:t>药品再注册审查审批期间，</w:t>
      </w:r>
      <w:r>
        <w:rPr>
          <w:rFonts w:hint="eastAsia" w:eastAsia="仿宋_GB2312"/>
          <w:kern w:val="0"/>
          <w:sz w:val="32"/>
          <w:szCs w:val="32"/>
        </w:rPr>
        <w:t>申请人根据法律法规的规定提出中止审评审批的，中止审评审批程序期间所占用的时间不计入工作时限。</w:t>
      </w:r>
      <w:r>
        <w:rPr>
          <w:rFonts w:eastAsia="仿宋_GB2312"/>
          <w:kern w:val="0"/>
          <w:sz w:val="32"/>
          <w:szCs w:val="32"/>
        </w:rPr>
        <w:t>中止的情形消除后，</w:t>
      </w:r>
      <w:r>
        <w:rPr>
          <w:rFonts w:hint="eastAsia" w:eastAsia="仿宋_GB2312"/>
          <w:kern w:val="0"/>
          <w:sz w:val="32"/>
          <w:szCs w:val="32"/>
        </w:rPr>
        <w:t>省级药品监督管理部门</w:t>
      </w:r>
      <w:r>
        <w:rPr>
          <w:rFonts w:eastAsia="仿宋_GB2312"/>
          <w:kern w:val="0"/>
          <w:sz w:val="32"/>
          <w:szCs w:val="32"/>
        </w:rPr>
        <w:t>应当重新启动审查审批。</w:t>
      </w:r>
    </w:p>
    <w:p w14:paraId="6E7C88F7">
      <w:pPr>
        <w:spacing w:line="594" w:lineRule="exact"/>
        <w:ind w:firstLine="640" w:firstLineChars="200"/>
        <w:rPr>
          <w:rFonts w:eastAsia="仿宋_GB2312"/>
          <w:kern w:val="0"/>
          <w:sz w:val="32"/>
          <w:szCs w:val="32"/>
        </w:rPr>
      </w:pPr>
      <w:r>
        <w:rPr>
          <w:rFonts w:eastAsia="仿宋_GB2312"/>
          <w:kern w:val="0"/>
          <w:sz w:val="32"/>
          <w:szCs w:val="32"/>
        </w:rPr>
        <w:t>药品再注册申请审查期间《药品生产许可证》、药品批准证明文件等发生变更的，申请人应当及时</w:t>
      </w:r>
      <w:r>
        <w:rPr>
          <w:rFonts w:hint="eastAsia" w:eastAsia="仿宋_GB2312"/>
          <w:kern w:val="0"/>
          <w:sz w:val="32"/>
          <w:szCs w:val="32"/>
        </w:rPr>
        <w:t>向省级药品监督管理部门</w:t>
      </w:r>
      <w:r>
        <w:rPr>
          <w:rFonts w:eastAsia="仿宋_GB2312"/>
          <w:kern w:val="0"/>
          <w:sz w:val="32"/>
          <w:szCs w:val="32"/>
        </w:rPr>
        <w:t>更新药品再注册申报资料。</w:t>
      </w:r>
    </w:p>
    <w:p w14:paraId="4405D547">
      <w:pPr>
        <w:spacing w:line="594" w:lineRule="exact"/>
        <w:ind w:firstLine="640" w:firstLineChars="200"/>
        <w:rPr>
          <w:rFonts w:eastAsia="仿宋_GB2312"/>
          <w:kern w:val="0"/>
          <w:sz w:val="32"/>
          <w:szCs w:val="32"/>
        </w:rPr>
      </w:pPr>
      <w:r>
        <w:rPr>
          <w:rFonts w:eastAsia="仿宋_GB2312"/>
          <w:kern w:val="0"/>
          <w:sz w:val="32"/>
          <w:szCs w:val="32"/>
        </w:rPr>
        <w:t>经审查，符合规定的，予以再注册，发给《药品/化学原料药再注册批准通知书》；不符合规定的，不予再注册并说明理由，出具《药品/化学原料药不予再注册通知书》，告知申请人依法享有的权利及救济途径，报请国家局注销药品批准证明文件。</w:t>
      </w:r>
    </w:p>
    <w:p w14:paraId="67AA7F25">
      <w:pPr>
        <w:spacing w:line="594" w:lineRule="exact"/>
        <w:ind w:firstLine="640" w:firstLineChars="200"/>
        <w:outlineLvl w:val="1"/>
        <w:rPr>
          <w:rFonts w:eastAsia="黑体"/>
          <w:kern w:val="0"/>
          <w:sz w:val="32"/>
          <w:szCs w:val="32"/>
        </w:rPr>
      </w:pPr>
      <w:r>
        <w:rPr>
          <w:rFonts w:eastAsia="黑体"/>
          <w:kern w:val="0"/>
          <w:sz w:val="32"/>
          <w:szCs w:val="32"/>
        </w:rPr>
        <w:t>四、送达</w:t>
      </w:r>
    </w:p>
    <w:p w14:paraId="38F37B53">
      <w:pPr>
        <w:spacing w:line="594" w:lineRule="exact"/>
        <w:ind w:firstLine="640" w:firstLineChars="200"/>
        <w:rPr>
          <w:rFonts w:eastAsia="仿宋_GB2312"/>
          <w:kern w:val="0"/>
          <w:sz w:val="32"/>
          <w:szCs w:val="32"/>
        </w:rPr>
      </w:pPr>
      <w:r>
        <w:rPr>
          <w:rFonts w:eastAsia="仿宋_GB2312"/>
          <w:kern w:val="0"/>
          <w:sz w:val="32"/>
          <w:szCs w:val="32"/>
        </w:rPr>
        <w:t>自审批完成之日起</w:t>
      </w:r>
      <w:r>
        <w:rPr>
          <w:rFonts w:hint="eastAsia" w:eastAsia="仿宋_GB2312"/>
          <w:kern w:val="0"/>
          <w:sz w:val="32"/>
          <w:szCs w:val="32"/>
        </w:rPr>
        <w:t>10</w:t>
      </w:r>
      <w:r>
        <w:rPr>
          <w:rFonts w:eastAsia="仿宋_GB2312"/>
          <w:kern w:val="0"/>
          <w:sz w:val="32"/>
          <w:szCs w:val="32"/>
        </w:rPr>
        <w:t>日内，送达《药品/化学原料药再注册批准通知书》《药品/化学原料药不予再注册通知书》，国家局网站同步更新相关信息。</w:t>
      </w:r>
    </w:p>
    <w:p w14:paraId="215E4895">
      <w:pPr>
        <w:spacing w:line="594" w:lineRule="exact"/>
        <w:ind w:firstLine="640" w:firstLineChars="200"/>
        <w:outlineLvl w:val="1"/>
        <w:rPr>
          <w:rFonts w:eastAsia="黑体"/>
          <w:kern w:val="0"/>
          <w:sz w:val="32"/>
          <w:szCs w:val="32"/>
        </w:rPr>
      </w:pPr>
      <w:r>
        <w:rPr>
          <w:rFonts w:eastAsia="黑体"/>
          <w:kern w:val="0"/>
          <w:sz w:val="32"/>
          <w:szCs w:val="32"/>
        </w:rPr>
        <w:t>五、终止</w:t>
      </w:r>
    </w:p>
    <w:p w14:paraId="11B08DBC">
      <w:pPr>
        <w:spacing w:line="594" w:lineRule="exact"/>
        <w:ind w:firstLine="640" w:firstLineChars="200"/>
        <w:outlineLvl w:val="1"/>
        <w:rPr>
          <w:rFonts w:eastAsia="仿宋_GB2312"/>
          <w:kern w:val="0"/>
          <w:sz w:val="32"/>
          <w:szCs w:val="32"/>
        </w:rPr>
      </w:pPr>
      <w:r>
        <w:rPr>
          <w:rFonts w:eastAsia="仿宋_GB2312"/>
          <w:kern w:val="0"/>
          <w:sz w:val="32"/>
          <w:szCs w:val="32"/>
        </w:rPr>
        <w:t>对于申请人主动提出撤回药品再注册申请、未在规定期限内缴纳费用或者另有规定的其他情形，</w:t>
      </w:r>
      <w:r>
        <w:rPr>
          <w:rFonts w:hint="eastAsia" w:eastAsia="仿宋_GB2312"/>
          <w:kern w:val="0"/>
          <w:sz w:val="32"/>
          <w:szCs w:val="32"/>
        </w:rPr>
        <w:t>省级药品监督管理部门</w:t>
      </w:r>
      <w:r>
        <w:rPr>
          <w:rFonts w:eastAsia="仿宋_GB2312"/>
          <w:kern w:val="0"/>
          <w:sz w:val="32"/>
          <w:szCs w:val="32"/>
        </w:rPr>
        <w:t>终止其药品再注册审查审批。</w:t>
      </w:r>
    </w:p>
    <w:p w14:paraId="627CEBE2">
      <w:pPr>
        <w:spacing w:line="594" w:lineRule="exact"/>
        <w:ind w:firstLine="640" w:firstLineChars="200"/>
        <w:outlineLvl w:val="1"/>
        <w:rPr>
          <w:rFonts w:eastAsia="黑体"/>
          <w:kern w:val="0"/>
          <w:sz w:val="32"/>
          <w:szCs w:val="32"/>
        </w:rPr>
      </w:pPr>
      <w:r>
        <w:rPr>
          <w:rFonts w:eastAsia="黑体"/>
          <w:kern w:val="0"/>
          <w:sz w:val="32"/>
          <w:szCs w:val="32"/>
        </w:rPr>
        <w:t>六、其他</w:t>
      </w:r>
    </w:p>
    <w:p w14:paraId="691BED54">
      <w:pPr>
        <w:spacing w:line="594" w:lineRule="exact"/>
        <w:ind w:firstLine="640" w:firstLineChars="200"/>
        <w:rPr>
          <w:rFonts w:eastAsia="仿宋_GB2312"/>
          <w:kern w:val="0"/>
          <w:sz w:val="32"/>
          <w:szCs w:val="32"/>
        </w:rPr>
      </w:pPr>
      <w:r>
        <w:rPr>
          <w:rFonts w:eastAsia="仿宋_GB2312"/>
          <w:kern w:val="0"/>
          <w:sz w:val="32"/>
          <w:szCs w:val="32"/>
        </w:rPr>
        <w:t>（一）</w:t>
      </w:r>
      <w:r>
        <w:rPr>
          <w:rFonts w:hint="eastAsia" w:eastAsia="仿宋_GB2312"/>
          <w:kern w:val="0"/>
          <w:sz w:val="32"/>
          <w:szCs w:val="32"/>
        </w:rPr>
        <w:t>申请人应当履行主体责任，在药品再注册申请时主动说明药品生产状态，加强对</w:t>
      </w:r>
      <w:r>
        <w:rPr>
          <w:rFonts w:eastAsia="仿宋_GB2312"/>
          <w:kern w:val="0"/>
          <w:sz w:val="32"/>
          <w:szCs w:val="32"/>
        </w:rPr>
        <w:t>批准药品上市许可或者前次批准药品再注册至本次提出药品再注册申请期间（以下简称</w:t>
      </w:r>
      <w:r>
        <w:rPr>
          <w:rFonts w:hint="eastAsia" w:eastAsia="仿宋_GB2312"/>
          <w:kern w:val="0"/>
          <w:sz w:val="32"/>
          <w:szCs w:val="32"/>
        </w:rPr>
        <w:t>“</w:t>
      </w:r>
      <w:r>
        <w:rPr>
          <w:rFonts w:eastAsia="仿宋_GB2312"/>
          <w:kern w:val="0"/>
          <w:sz w:val="32"/>
          <w:szCs w:val="32"/>
        </w:rPr>
        <w:t>药品再注册周期</w:t>
      </w:r>
      <w:r>
        <w:rPr>
          <w:rFonts w:hint="eastAsia" w:eastAsia="仿宋_GB2312"/>
          <w:kern w:val="0"/>
          <w:sz w:val="32"/>
          <w:szCs w:val="32"/>
        </w:rPr>
        <w:t>”</w:t>
      </w:r>
      <w:r>
        <w:rPr>
          <w:rFonts w:eastAsia="仿宋_GB2312"/>
          <w:kern w:val="0"/>
          <w:sz w:val="32"/>
          <w:szCs w:val="32"/>
        </w:rPr>
        <w:t>）未开展商业化规模生产药品</w:t>
      </w:r>
      <w:r>
        <w:rPr>
          <w:rFonts w:hint="eastAsia" w:eastAsia="仿宋_GB2312"/>
          <w:kern w:val="0"/>
          <w:sz w:val="32"/>
          <w:szCs w:val="32"/>
        </w:rPr>
        <w:t>的管理。申请人应当持续考察药品质量、疗效和不良反应情况，在恢复生产前应当对照现行的技术指导原则进行评估和研究，并按照《药品上市后变更管理办法（试行）》以及相关文件要求做好有关工作。省级药品监督管理部门</w:t>
      </w:r>
      <w:r>
        <w:rPr>
          <w:rFonts w:eastAsia="仿宋_GB2312"/>
          <w:kern w:val="0"/>
          <w:sz w:val="32"/>
          <w:szCs w:val="32"/>
        </w:rPr>
        <w:t>应当加强监管，要求申请人在恢复生产时向</w:t>
      </w:r>
      <w:r>
        <w:rPr>
          <w:rFonts w:hint="eastAsia" w:eastAsia="仿宋_GB2312"/>
          <w:kern w:val="0"/>
          <w:sz w:val="32"/>
          <w:szCs w:val="32"/>
        </w:rPr>
        <w:t>省级药品监督管理部门</w:t>
      </w:r>
      <w:r>
        <w:rPr>
          <w:rFonts w:eastAsia="仿宋_GB2312"/>
          <w:kern w:val="0"/>
          <w:sz w:val="32"/>
          <w:szCs w:val="32"/>
        </w:rPr>
        <w:t>提出现场检查</w:t>
      </w:r>
      <w:r>
        <w:rPr>
          <w:rFonts w:hint="eastAsia" w:eastAsia="仿宋_GB2312"/>
          <w:kern w:val="0"/>
          <w:sz w:val="32"/>
          <w:szCs w:val="32"/>
        </w:rPr>
        <w:t>、</w:t>
      </w:r>
      <w:r>
        <w:rPr>
          <w:rFonts w:eastAsia="仿宋_GB2312"/>
          <w:kern w:val="0"/>
          <w:sz w:val="32"/>
          <w:szCs w:val="32"/>
        </w:rPr>
        <w:t>检验申请，现场检查</w:t>
      </w:r>
      <w:r>
        <w:rPr>
          <w:rFonts w:hint="eastAsia" w:eastAsia="仿宋_GB2312"/>
          <w:kern w:val="0"/>
          <w:sz w:val="32"/>
          <w:szCs w:val="32"/>
        </w:rPr>
        <w:t>、</w:t>
      </w:r>
      <w:r>
        <w:rPr>
          <w:rFonts w:eastAsia="仿宋_GB2312"/>
          <w:kern w:val="0"/>
          <w:sz w:val="32"/>
          <w:szCs w:val="32"/>
        </w:rPr>
        <w:t>抽样检验合格的方可上市销售。对于注射剂，申请人还应当将后续两批样品送药品检验机构检验，样品检验合格的方可上市销售。</w:t>
      </w:r>
    </w:p>
    <w:p w14:paraId="553C851C">
      <w:pPr>
        <w:spacing w:line="594" w:lineRule="exact"/>
        <w:ind w:firstLine="640" w:firstLineChars="200"/>
        <w:rPr>
          <w:rFonts w:eastAsia="仿宋_GB2312"/>
          <w:kern w:val="0"/>
          <w:sz w:val="32"/>
          <w:szCs w:val="32"/>
        </w:rPr>
      </w:pPr>
      <w:r>
        <w:rPr>
          <w:rFonts w:eastAsia="仿宋_GB2312"/>
          <w:kern w:val="0"/>
          <w:sz w:val="32"/>
          <w:szCs w:val="32"/>
        </w:rPr>
        <w:t>（二）药品再注册批准通知书有效期自原药品批准证明文件有效期届满次日起算；原药品批准证明文件有效期届满后批准再注册的，药品再注册批准通知书有效期自</w:t>
      </w:r>
      <w:r>
        <w:rPr>
          <w:rFonts w:hint="eastAsia" w:eastAsia="仿宋_GB2312"/>
          <w:kern w:val="0"/>
          <w:sz w:val="32"/>
          <w:szCs w:val="32"/>
        </w:rPr>
        <w:t>省级药品监督管理部门</w:t>
      </w:r>
      <w:r>
        <w:rPr>
          <w:rFonts w:eastAsia="仿宋_GB2312"/>
          <w:kern w:val="0"/>
          <w:sz w:val="32"/>
          <w:szCs w:val="32"/>
        </w:rPr>
        <w:t>批准再注册之日起算。</w:t>
      </w:r>
    </w:p>
    <w:p w14:paraId="48765530">
      <w:pPr>
        <w:spacing w:line="594" w:lineRule="exact"/>
        <w:ind w:firstLine="640" w:firstLineChars="200"/>
        <w:outlineLvl w:val="0"/>
        <w:rPr>
          <w:rFonts w:eastAsia="仿宋_GB2312"/>
          <w:kern w:val="0"/>
          <w:sz w:val="32"/>
          <w:szCs w:val="32"/>
        </w:rPr>
      </w:pPr>
      <w:r>
        <w:rPr>
          <w:rFonts w:eastAsia="仿宋_GB2312"/>
          <w:kern w:val="0"/>
          <w:sz w:val="32"/>
          <w:szCs w:val="32"/>
        </w:rPr>
        <w:t>（</w:t>
      </w:r>
      <w:r>
        <w:rPr>
          <w:rFonts w:hint="eastAsia" w:eastAsia="仿宋_GB2312"/>
          <w:kern w:val="0"/>
          <w:sz w:val="32"/>
          <w:szCs w:val="32"/>
        </w:rPr>
        <w:t>三</w:t>
      </w:r>
      <w:r>
        <w:rPr>
          <w:rFonts w:eastAsia="仿宋_GB2312"/>
          <w:kern w:val="0"/>
          <w:sz w:val="32"/>
          <w:szCs w:val="32"/>
        </w:rPr>
        <w:t>）其他未尽事</w:t>
      </w:r>
      <w:r>
        <w:rPr>
          <w:rFonts w:hint="eastAsia" w:eastAsia="仿宋_GB2312"/>
          <w:kern w:val="0"/>
          <w:sz w:val="32"/>
          <w:szCs w:val="32"/>
        </w:rPr>
        <w:t>项</w:t>
      </w:r>
      <w:r>
        <w:rPr>
          <w:rFonts w:eastAsia="仿宋_GB2312"/>
          <w:kern w:val="0"/>
          <w:sz w:val="32"/>
          <w:szCs w:val="32"/>
        </w:rPr>
        <w:t>应当按照《药品管理法》《疫苗管理法》《药品管理法实施条例》《药品注册管理办法》及相关规定、技术指导原则等有关文件执行。</w:t>
      </w:r>
    </w:p>
    <w:p w14:paraId="0938C5EF">
      <w:pPr>
        <w:spacing w:line="594" w:lineRule="exact"/>
        <w:ind w:firstLine="640" w:firstLineChars="200"/>
        <w:rPr>
          <w:rFonts w:hint="eastAsia" w:eastAsia="仿宋_GB2312"/>
          <w:kern w:val="0"/>
          <w:sz w:val="32"/>
          <w:szCs w:val="32"/>
        </w:rPr>
      </w:pPr>
      <w:r>
        <w:rPr>
          <w:rFonts w:eastAsia="仿宋_GB2312"/>
          <w:kern w:val="0"/>
          <w:sz w:val="32"/>
          <w:szCs w:val="32"/>
        </w:rPr>
        <w:t>（</w:t>
      </w:r>
      <w:r>
        <w:rPr>
          <w:rFonts w:hint="eastAsia" w:eastAsia="仿宋_GB2312"/>
          <w:kern w:val="0"/>
          <w:sz w:val="32"/>
          <w:szCs w:val="32"/>
        </w:rPr>
        <w:t>四</w:t>
      </w:r>
      <w:r>
        <w:rPr>
          <w:rFonts w:eastAsia="仿宋_GB2312"/>
          <w:kern w:val="0"/>
          <w:sz w:val="32"/>
          <w:szCs w:val="32"/>
        </w:rPr>
        <w:t>）</w:t>
      </w:r>
      <w:r>
        <w:rPr>
          <w:rFonts w:hint="eastAsia" w:eastAsia="仿宋_GB2312"/>
          <w:kern w:val="0"/>
          <w:sz w:val="32"/>
          <w:szCs w:val="32"/>
        </w:rPr>
        <w:t>省级药品监督管理部门应当在药品再注册审批过程中关注申请人药品年度报告建立和实施情况。</w:t>
      </w:r>
    </w:p>
    <w:p w14:paraId="6406067B">
      <w:pPr>
        <w:spacing w:line="594" w:lineRule="exact"/>
        <w:ind w:firstLine="640" w:firstLineChars="200"/>
        <w:rPr>
          <w:rFonts w:eastAsia="仿宋_GB2312"/>
          <w:kern w:val="0"/>
          <w:sz w:val="32"/>
          <w:szCs w:val="32"/>
          <w:lang w:bidi="ar"/>
        </w:rPr>
      </w:pPr>
      <w:r>
        <w:rPr>
          <w:rFonts w:eastAsia="仿宋_GB2312"/>
          <w:kern w:val="0"/>
          <w:sz w:val="32"/>
          <w:szCs w:val="32"/>
        </w:rPr>
        <w:t>（</w:t>
      </w:r>
      <w:r>
        <w:rPr>
          <w:rFonts w:hint="eastAsia" w:eastAsia="仿宋_GB2312"/>
          <w:kern w:val="0"/>
          <w:sz w:val="32"/>
          <w:szCs w:val="32"/>
        </w:rPr>
        <w:t>五</w:t>
      </w:r>
      <w:r>
        <w:rPr>
          <w:rFonts w:eastAsia="仿宋_GB2312"/>
          <w:kern w:val="0"/>
          <w:sz w:val="32"/>
          <w:szCs w:val="32"/>
        </w:rPr>
        <w:t>）</w:t>
      </w:r>
      <w:r>
        <w:rPr>
          <w:rFonts w:eastAsia="仿宋_GB2312"/>
          <w:kern w:val="0"/>
          <w:sz w:val="32"/>
          <w:szCs w:val="32"/>
          <w:lang w:bidi="ar"/>
        </w:rPr>
        <w:t>本公告实施前发布的药品再注册相关文件与本公告不一致的，以本公告的规定为准。</w:t>
      </w:r>
    </w:p>
    <w:p w14:paraId="3EADCF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05"/>
    <w:rsid w:val="001C6C05"/>
    <w:rsid w:val="00D67046"/>
    <w:rsid w:val="00ED426B"/>
    <w:rsid w:val="20E92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link w:val="10"/>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3"/>
    <w:basedOn w:val="1"/>
    <w:next w:val="1"/>
    <w:link w:val="1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标题 1 Char"/>
    <w:basedOn w:val="7"/>
    <w:link w:val="3"/>
    <w:qFormat/>
    <w:uiPriority w:val="9"/>
    <w:rPr>
      <w:rFonts w:ascii="宋体" w:hAnsi="宋体" w:eastAsia="宋体" w:cs="宋体"/>
      <w:b/>
      <w:bCs/>
      <w:kern w:val="36"/>
      <w:sz w:val="48"/>
      <w:szCs w:val="48"/>
    </w:rPr>
  </w:style>
  <w:style w:type="character" w:customStyle="1" w:styleId="11">
    <w:name w:val="标题 3 Char"/>
    <w:basedOn w:val="7"/>
    <w:link w:val="2"/>
    <w:semiHidden/>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1793</Words>
  <Characters>1825</Characters>
  <Lines>13</Lines>
  <Paragraphs>3</Paragraphs>
  <TotalTime>0</TotalTime>
  <ScaleCrop>false</ScaleCrop>
  <LinksUpToDate>false</LinksUpToDate>
  <CharactersWithSpaces>1825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2024-10-11T09:57:00Z</dcterms:created>
  <dc:creator>pc</dc:creator>
  <cp:lastModifiedBy>Polaris</cp:lastModifiedBy>
  <dcterms:modified xsi:type="dcterms:W3CDTF">2024-10-12T01:15:22Z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B12B0616ED3446BF85EEF2A91738F72C_13</vt:lpwstr>
  </property>
</Properties>
</file>