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16E4D">
      <w:pPr>
        <w:spacing w:line="594" w:lineRule="exact"/>
        <w:outlineLvl w:val="0"/>
        <w:rPr>
          <w:rFonts w:eastAsia="黑体"/>
        </w:rPr>
      </w:pPr>
      <w:bookmarkStart w:id="0" w:name="_GoBack"/>
      <w:bookmarkEnd w:id="0"/>
      <w:r>
        <w:rPr>
          <w:rFonts w:hint="eastAsia" w:ascii="黑体" w:hAnsi="黑体" w:eastAsia="黑体" w:cs="黑体"/>
          <w:kern w:val="0"/>
          <w:sz w:val="32"/>
          <w:szCs w:val="32"/>
        </w:rPr>
        <w:t>附件2</w:t>
      </w:r>
    </w:p>
    <w:p w14:paraId="4B5A8D35">
      <w:pPr>
        <w:spacing w:line="594" w:lineRule="exact"/>
        <w:jc w:val="center"/>
        <w:outlineLvl w:val="0"/>
        <w:rPr>
          <w:rFonts w:eastAsia="方正小标宋简体"/>
          <w:kern w:val="0"/>
          <w:sz w:val="44"/>
          <w:szCs w:val="44"/>
        </w:rPr>
      </w:pPr>
    </w:p>
    <w:p w14:paraId="2C90A376">
      <w:pPr>
        <w:spacing w:line="594" w:lineRule="exact"/>
        <w:jc w:val="center"/>
        <w:outlineLvl w:val="0"/>
        <w:rPr>
          <w:rFonts w:eastAsia="方正小标宋简体"/>
          <w:kern w:val="0"/>
          <w:sz w:val="44"/>
          <w:szCs w:val="44"/>
        </w:rPr>
      </w:pPr>
      <w:r>
        <w:rPr>
          <w:rFonts w:eastAsia="方正小标宋简体"/>
          <w:kern w:val="0"/>
          <w:sz w:val="44"/>
          <w:szCs w:val="44"/>
        </w:rPr>
        <w:t>境内生产药品再注册申报资料要求</w:t>
      </w:r>
    </w:p>
    <w:p w14:paraId="51306941">
      <w:pPr>
        <w:spacing w:line="594" w:lineRule="exact"/>
        <w:ind w:firstLine="640" w:firstLineChars="200"/>
        <w:outlineLvl w:val="0"/>
        <w:rPr>
          <w:rFonts w:eastAsia="黑体"/>
          <w:kern w:val="0"/>
          <w:sz w:val="32"/>
          <w:szCs w:val="32"/>
        </w:rPr>
      </w:pPr>
    </w:p>
    <w:p w14:paraId="65421B6A">
      <w:pPr>
        <w:spacing w:line="594" w:lineRule="exact"/>
        <w:ind w:firstLine="640" w:firstLineChars="200"/>
        <w:rPr>
          <w:rFonts w:eastAsia="仿宋_GB2312"/>
          <w:spacing w:val="6"/>
          <w:kern w:val="0"/>
          <w:sz w:val="32"/>
          <w:szCs w:val="32"/>
        </w:rPr>
      </w:pPr>
      <w:r>
        <w:rPr>
          <w:rFonts w:hint="eastAsia" w:eastAsia="仿宋_GB2312"/>
          <w:kern w:val="0"/>
          <w:sz w:val="32"/>
          <w:szCs w:val="32"/>
        </w:rPr>
        <w:t>境</w:t>
      </w:r>
      <w:r>
        <w:rPr>
          <w:rFonts w:hint="eastAsia" w:eastAsia="仿宋_GB2312"/>
          <w:spacing w:val="6"/>
          <w:kern w:val="0"/>
          <w:sz w:val="32"/>
          <w:szCs w:val="32"/>
        </w:rPr>
        <w:t>内生产药品再注册</w:t>
      </w:r>
      <w:r>
        <w:rPr>
          <w:rFonts w:eastAsia="仿宋_GB2312"/>
          <w:spacing w:val="6"/>
          <w:kern w:val="0"/>
          <w:sz w:val="32"/>
          <w:szCs w:val="32"/>
        </w:rPr>
        <w:t>申报资料以电子文件形式提交，应当为未经篡改的电子文件、电子证件或者纸质文件原件的扫描件等。</w:t>
      </w:r>
      <w:r>
        <w:rPr>
          <w:rFonts w:eastAsia="仿宋_GB2312"/>
          <w:spacing w:val="6"/>
          <w:kern w:val="0"/>
          <w:sz w:val="32"/>
          <w:szCs w:val="32"/>
          <w:lang w:bidi="ar"/>
        </w:rPr>
        <w:t>对申报资料</w:t>
      </w:r>
      <w:r>
        <w:rPr>
          <w:rFonts w:hint="eastAsia" w:eastAsia="仿宋_GB2312"/>
          <w:spacing w:val="6"/>
          <w:kern w:val="0"/>
          <w:sz w:val="32"/>
          <w:szCs w:val="32"/>
          <w:lang w:bidi="ar"/>
        </w:rPr>
        <w:t>中化学</w:t>
      </w:r>
      <w:r>
        <w:rPr>
          <w:rFonts w:eastAsia="仿宋_GB2312"/>
          <w:spacing w:val="6"/>
          <w:kern w:val="0"/>
          <w:sz w:val="32"/>
          <w:szCs w:val="32"/>
          <w:lang w:bidi="ar"/>
        </w:rPr>
        <w:t>原料药不适用的项目，该项下填写“不适用”。</w:t>
      </w:r>
    </w:p>
    <w:p w14:paraId="1BFEDB3B">
      <w:pPr>
        <w:spacing w:line="594" w:lineRule="exact"/>
        <w:ind w:firstLine="640" w:firstLineChars="200"/>
        <w:outlineLvl w:val="1"/>
        <w:rPr>
          <w:rFonts w:eastAsia="黑体"/>
          <w:kern w:val="0"/>
          <w:sz w:val="32"/>
          <w:szCs w:val="32"/>
        </w:rPr>
      </w:pPr>
      <w:r>
        <w:rPr>
          <w:rFonts w:eastAsia="黑体"/>
          <w:kern w:val="0"/>
          <w:sz w:val="32"/>
          <w:szCs w:val="32"/>
        </w:rPr>
        <w:t>一、境内生产药品再注册申请表</w:t>
      </w:r>
    </w:p>
    <w:p w14:paraId="39842DA5">
      <w:pPr>
        <w:spacing w:line="594" w:lineRule="exact"/>
        <w:ind w:firstLine="640" w:firstLineChars="200"/>
        <w:rPr>
          <w:rFonts w:eastAsia="仿宋_GB2312"/>
          <w:kern w:val="0"/>
          <w:sz w:val="32"/>
          <w:szCs w:val="32"/>
        </w:rPr>
      </w:pPr>
      <w:r>
        <w:rPr>
          <w:rFonts w:eastAsia="仿宋_GB2312"/>
          <w:kern w:val="0"/>
          <w:sz w:val="32"/>
          <w:szCs w:val="32"/>
        </w:rPr>
        <w:t>（一）申请人通过国家局网上办事大厅在线填报，生成电子版药品再注册申请表。</w:t>
      </w:r>
    </w:p>
    <w:p w14:paraId="3582316D">
      <w:pPr>
        <w:spacing w:line="594" w:lineRule="exact"/>
        <w:ind w:firstLine="640" w:firstLineChars="200"/>
        <w:rPr>
          <w:rFonts w:eastAsia="仿宋_GB2312"/>
          <w:kern w:val="0"/>
          <w:sz w:val="32"/>
          <w:szCs w:val="32"/>
        </w:rPr>
      </w:pPr>
      <w:r>
        <w:rPr>
          <w:rFonts w:eastAsia="仿宋_GB2312"/>
          <w:kern w:val="0"/>
          <w:sz w:val="32"/>
          <w:szCs w:val="32"/>
        </w:rPr>
        <w:t>（二）药品再注册申请表应当按照填表说明规范填写，并与《营业执照》《药品生产许可证》、药品批准证明文件相应内容保持一致</w:t>
      </w:r>
      <w:r>
        <w:rPr>
          <w:rFonts w:hint="eastAsia" w:eastAsia="仿宋_GB2312"/>
          <w:kern w:val="0"/>
          <w:sz w:val="32"/>
          <w:szCs w:val="32"/>
        </w:rPr>
        <w:t>。</w:t>
      </w:r>
      <w:r>
        <w:rPr>
          <w:rFonts w:eastAsia="仿宋_GB2312"/>
          <w:kern w:val="0"/>
          <w:sz w:val="32"/>
          <w:szCs w:val="32"/>
        </w:rPr>
        <w:t>每个药品批准文号（化学原料药登记号）填写一份申请表。已申报补充申请但尚未获得批准的，应当按原注册批准内容</w:t>
      </w:r>
      <w:r>
        <w:rPr>
          <w:rFonts w:hint="eastAsia" w:eastAsia="仿宋_GB2312"/>
          <w:kern w:val="0"/>
          <w:sz w:val="32"/>
          <w:szCs w:val="32"/>
        </w:rPr>
        <w:t>填写</w:t>
      </w:r>
      <w:r>
        <w:rPr>
          <w:rFonts w:eastAsia="仿宋_GB2312"/>
          <w:kern w:val="0"/>
          <w:sz w:val="32"/>
          <w:szCs w:val="32"/>
        </w:rPr>
        <w:t>。</w:t>
      </w:r>
    </w:p>
    <w:p w14:paraId="7E9E4477">
      <w:pPr>
        <w:spacing w:line="594" w:lineRule="exact"/>
        <w:ind w:firstLine="640" w:firstLineChars="200"/>
        <w:rPr>
          <w:rFonts w:eastAsia="黑体"/>
          <w:b/>
          <w:bCs/>
          <w:kern w:val="0"/>
          <w:sz w:val="32"/>
          <w:szCs w:val="32"/>
        </w:rPr>
      </w:pPr>
      <w:r>
        <w:rPr>
          <w:rFonts w:eastAsia="黑体"/>
          <w:kern w:val="0"/>
          <w:sz w:val="32"/>
          <w:szCs w:val="32"/>
        </w:rPr>
        <w:t>二、证明性文件及相关资料</w:t>
      </w:r>
    </w:p>
    <w:p w14:paraId="39D752E6">
      <w:pPr>
        <w:spacing w:line="594" w:lineRule="exact"/>
        <w:ind w:firstLine="640" w:firstLineChars="200"/>
        <w:rPr>
          <w:rFonts w:eastAsia="仿宋_GB2312"/>
          <w:bCs/>
          <w:kern w:val="0"/>
          <w:sz w:val="32"/>
          <w:szCs w:val="32"/>
        </w:rPr>
      </w:pPr>
      <w:r>
        <w:rPr>
          <w:rFonts w:eastAsia="仿宋_GB2312"/>
          <w:bCs/>
          <w:kern w:val="0"/>
          <w:sz w:val="32"/>
          <w:szCs w:val="32"/>
        </w:rPr>
        <w:t>（一）《药品生产许可证》应当在有效期内，并有相应的生产范围和生产地址。申请人</w:t>
      </w:r>
      <w:r>
        <w:rPr>
          <w:rFonts w:hint="eastAsia" w:eastAsia="仿宋_GB2312"/>
          <w:bCs/>
          <w:kern w:val="0"/>
          <w:sz w:val="32"/>
          <w:szCs w:val="32"/>
        </w:rPr>
        <w:t>以及</w:t>
      </w:r>
      <w:r>
        <w:rPr>
          <w:rFonts w:eastAsia="仿宋_GB2312"/>
          <w:bCs/>
          <w:kern w:val="0"/>
          <w:sz w:val="32"/>
          <w:szCs w:val="32"/>
        </w:rPr>
        <w:t>受托生产企业</w:t>
      </w:r>
      <w:r>
        <w:rPr>
          <w:rFonts w:hint="eastAsia" w:eastAsia="仿宋_GB2312"/>
          <w:bCs/>
          <w:kern w:val="0"/>
          <w:sz w:val="32"/>
          <w:szCs w:val="32"/>
        </w:rPr>
        <w:t>的</w:t>
      </w:r>
      <w:r>
        <w:rPr>
          <w:rFonts w:eastAsia="仿宋_GB2312"/>
          <w:bCs/>
          <w:kern w:val="0"/>
          <w:sz w:val="32"/>
          <w:szCs w:val="32"/>
        </w:rPr>
        <w:t>《营业执照》《药品生产许可证》、药品批准证明文件等</w:t>
      </w:r>
      <w:r>
        <w:rPr>
          <w:rFonts w:hint="eastAsia" w:eastAsia="仿宋_GB2312"/>
          <w:bCs/>
          <w:kern w:val="0"/>
          <w:sz w:val="32"/>
          <w:szCs w:val="32"/>
        </w:rPr>
        <w:t>可以</w:t>
      </w:r>
      <w:r>
        <w:rPr>
          <w:rFonts w:eastAsia="仿宋_GB2312"/>
          <w:bCs/>
          <w:kern w:val="0"/>
          <w:sz w:val="32"/>
          <w:szCs w:val="32"/>
        </w:rPr>
        <w:t>由</w:t>
      </w:r>
      <w:r>
        <w:rPr>
          <w:rFonts w:hint="eastAsia" w:eastAsia="仿宋_GB2312"/>
          <w:kern w:val="0"/>
          <w:sz w:val="32"/>
          <w:szCs w:val="32"/>
        </w:rPr>
        <w:t>省级药品监督管理部门</w:t>
      </w:r>
      <w:r>
        <w:rPr>
          <w:rFonts w:eastAsia="仿宋_GB2312"/>
          <w:bCs/>
          <w:kern w:val="0"/>
          <w:sz w:val="32"/>
          <w:szCs w:val="32"/>
        </w:rPr>
        <w:t>进行网络和内部核查核验</w:t>
      </w:r>
      <w:r>
        <w:rPr>
          <w:rFonts w:hint="eastAsia" w:eastAsia="仿宋_GB2312"/>
          <w:bCs/>
          <w:kern w:val="0"/>
          <w:sz w:val="32"/>
          <w:szCs w:val="32"/>
        </w:rPr>
        <w:t>的</w:t>
      </w:r>
      <w:r>
        <w:rPr>
          <w:rFonts w:eastAsia="仿宋_GB2312"/>
          <w:bCs/>
          <w:kern w:val="0"/>
          <w:sz w:val="32"/>
          <w:szCs w:val="32"/>
        </w:rPr>
        <w:t>无需提供。</w:t>
      </w:r>
    </w:p>
    <w:p w14:paraId="3F228EF1">
      <w:pPr>
        <w:spacing w:line="594" w:lineRule="exact"/>
        <w:ind w:firstLine="640" w:firstLineChars="200"/>
        <w:rPr>
          <w:rFonts w:eastAsia="仿宋_GB2312"/>
          <w:kern w:val="0"/>
          <w:sz w:val="32"/>
          <w:szCs w:val="32"/>
        </w:rPr>
      </w:pPr>
      <w:r>
        <w:rPr>
          <w:rFonts w:eastAsia="仿宋_GB2312"/>
          <w:bCs/>
          <w:kern w:val="0"/>
          <w:sz w:val="32"/>
          <w:szCs w:val="32"/>
        </w:rPr>
        <w:t>（二）</w:t>
      </w:r>
      <w:r>
        <w:rPr>
          <w:rFonts w:eastAsia="仿宋_GB2312"/>
          <w:kern w:val="0"/>
          <w:sz w:val="32"/>
          <w:szCs w:val="32"/>
        </w:rPr>
        <w:t>提供药品说明书和标签样稿（可以为彩色设计稿）。</w:t>
      </w:r>
    </w:p>
    <w:p w14:paraId="19159D4B">
      <w:pPr>
        <w:spacing w:line="594" w:lineRule="exact"/>
        <w:ind w:firstLine="640" w:firstLineChars="200"/>
        <w:rPr>
          <w:rFonts w:eastAsia="仿宋_GB2312"/>
          <w:sz w:val="32"/>
          <w:szCs w:val="32"/>
        </w:rPr>
      </w:pPr>
      <w:r>
        <w:rPr>
          <w:rFonts w:eastAsia="黑体"/>
          <w:kern w:val="0"/>
          <w:sz w:val="32"/>
          <w:szCs w:val="32"/>
        </w:rPr>
        <w:t>三、药品上市后评价和不良反应监测情况总结和分析评估情况</w:t>
      </w:r>
    </w:p>
    <w:p w14:paraId="39C01CBE">
      <w:pPr>
        <w:spacing w:line="594" w:lineRule="exact"/>
        <w:ind w:firstLine="640" w:firstLineChars="200"/>
        <w:rPr>
          <w:rFonts w:eastAsia="仿宋_GB2312"/>
          <w:kern w:val="0"/>
          <w:sz w:val="32"/>
          <w:szCs w:val="32"/>
        </w:rPr>
      </w:pPr>
      <w:r>
        <w:rPr>
          <w:rFonts w:eastAsia="仿宋_GB2312"/>
          <w:kern w:val="0"/>
          <w:sz w:val="32"/>
          <w:szCs w:val="32"/>
        </w:rPr>
        <w:t>应当分别描述药品再注册周期内开展的药品上市后评价和不良反应监测的简要情况。药品上市后评价情况应当说明开展目的、进展情况和结论性意见等。药品不良反应监测情况应当说明药品再注册周期内临床使用情况及监测到的疑似不良反应情况，尤其是严重不良反应、非预期不良反应等情况，并说明疑似不良反应与药品的相关性、发生频率、严重程度的分析评价和安全性风险综合评估情况，以及根据评价评估情况采取的风险控制措施。疫苗还应当包括疑似预防接种异常反应报告。</w:t>
      </w:r>
    </w:p>
    <w:p w14:paraId="0E959111">
      <w:pPr>
        <w:spacing w:line="594" w:lineRule="exact"/>
        <w:ind w:firstLine="640" w:firstLineChars="200"/>
        <w:rPr>
          <w:rFonts w:eastAsia="黑体"/>
          <w:kern w:val="0"/>
          <w:sz w:val="32"/>
          <w:szCs w:val="32"/>
        </w:rPr>
      </w:pPr>
      <w:r>
        <w:rPr>
          <w:rFonts w:eastAsia="黑体"/>
          <w:kern w:val="0"/>
          <w:sz w:val="32"/>
          <w:szCs w:val="32"/>
        </w:rPr>
        <w:t>四、按照药品批准证明文件和药品监督管理部门要求开展相关工作的情况说明</w:t>
      </w:r>
    </w:p>
    <w:p w14:paraId="7AC5F2B3">
      <w:pPr>
        <w:spacing w:line="594" w:lineRule="exact"/>
        <w:ind w:firstLine="640" w:firstLineChars="200"/>
        <w:rPr>
          <w:rFonts w:eastAsia="仿宋_GB2312"/>
          <w:kern w:val="0"/>
          <w:sz w:val="32"/>
          <w:szCs w:val="32"/>
        </w:rPr>
      </w:pPr>
      <w:r>
        <w:rPr>
          <w:rFonts w:eastAsia="仿宋_GB2312"/>
          <w:kern w:val="0"/>
          <w:sz w:val="32"/>
          <w:szCs w:val="32"/>
        </w:rPr>
        <w:t>有下列情形之一的，应当提供相关工作开展的情况说明</w:t>
      </w:r>
      <w:r>
        <w:rPr>
          <w:rFonts w:hint="eastAsia" w:eastAsia="仿宋_GB2312"/>
          <w:kern w:val="0"/>
          <w:sz w:val="32"/>
          <w:szCs w:val="32"/>
        </w:rPr>
        <w:t>，</w:t>
      </w:r>
      <w:r>
        <w:rPr>
          <w:rFonts w:eastAsia="仿宋_GB2312"/>
          <w:kern w:val="0"/>
          <w:sz w:val="32"/>
          <w:szCs w:val="32"/>
        </w:rPr>
        <w:t>如未在规定时限内完成的，应当有合理的理由。情况说明包括但不限于工作要求、工作进展情况、结论性意见及补充申请、备案或者报告情况等。</w:t>
      </w:r>
    </w:p>
    <w:p w14:paraId="6B3FC283">
      <w:pPr>
        <w:spacing w:line="594" w:lineRule="exact"/>
        <w:ind w:firstLine="640" w:firstLineChars="200"/>
        <w:rPr>
          <w:rFonts w:eastAsia="仿宋_GB2312"/>
          <w:kern w:val="0"/>
          <w:sz w:val="32"/>
          <w:szCs w:val="32"/>
        </w:rPr>
      </w:pPr>
      <w:r>
        <w:rPr>
          <w:rFonts w:eastAsia="仿宋_GB2312"/>
          <w:kern w:val="0"/>
          <w:sz w:val="32"/>
          <w:szCs w:val="32"/>
        </w:rPr>
        <w:t>1.药品批准证明文件中要求开展工作的；</w:t>
      </w:r>
    </w:p>
    <w:p w14:paraId="659DCCDE">
      <w:pPr>
        <w:spacing w:line="594" w:lineRule="exact"/>
        <w:ind w:firstLine="640" w:firstLineChars="200"/>
        <w:rPr>
          <w:rFonts w:eastAsia="仿宋_GB2312"/>
          <w:kern w:val="0"/>
          <w:sz w:val="32"/>
          <w:szCs w:val="32"/>
        </w:rPr>
      </w:pPr>
      <w:r>
        <w:rPr>
          <w:rFonts w:eastAsia="仿宋_GB2312"/>
          <w:kern w:val="0"/>
          <w:sz w:val="32"/>
          <w:szCs w:val="32"/>
        </w:rPr>
        <w:t>2.国家药品标准、药品质量标准颁布件或者修订件等要求继续完成工作的；</w:t>
      </w:r>
    </w:p>
    <w:p w14:paraId="04F199BD">
      <w:pPr>
        <w:spacing w:line="594" w:lineRule="exact"/>
        <w:ind w:firstLine="640" w:firstLineChars="200"/>
        <w:rPr>
          <w:rFonts w:eastAsia="仿宋_GB2312"/>
          <w:kern w:val="0"/>
          <w:sz w:val="32"/>
          <w:szCs w:val="32"/>
        </w:rPr>
      </w:pPr>
      <w:r>
        <w:rPr>
          <w:rFonts w:eastAsia="仿宋_GB2312"/>
          <w:kern w:val="0"/>
          <w:sz w:val="32"/>
          <w:szCs w:val="32"/>
        </w:rPr>
        <w:t>3.开展中药保护品种相关研究工作的；</w:t>
      </w:r>
    </w:p>
    <w:p w14:paraId="2E4A9424">
      <w:pPr>
        <w:spacing w:line="594" w:lineRule="exact"/>
        <w:ind w:firstLine="640" w:firstLineChars="200"/>
        <w:rPr>
          <w:rFonts w:eastAsia="仿宋_GB2312"/>
          <w:kern w:val="0"/>
          <w:sz w:val="32"/>
          <w:szCs w:val="32"/>
        </w:rPr>
      </w:pPr>
      <w:r>
        <w:rPr>
          <w:rFonts w:eastAsia="仿宋_GB2312"/>
          <w:kern w:val="0"/>
          <w:sz w:val="32"/>
          <w:szCs w:val="32"/>
        </w:rPr>
        <w:t>4.开展试行标准转正相关研究工作的；</w:t>
      </w:r>
    </w:p>
    <w:p w14:paraId="74D826DA">
      <w:pPr>
        <w:spacing w:line="594" w:lineRule="exact"/>
        <w:ind w:firstLine="640" w:firstLineChars="200"/>
        <w:rPr>
          <w:rFonts w:eastAsia="仿宋_GB2312"/>
          <w:kern w:val="0"/>
          <w:sz w:val="32"/>
          <w:szCs w:val="32"/>
        </w:rPr>
      </w:pPr>
      <w:r>
        <w:rPr>
          <w:rFonts w:eastAsia="仿宋_GB2312"/>
          <w:kern w:val="0"/>
          <w:sz w:val="32"/>
          <w:szCs w:val="32"/>
        </w:rPr>
        <w:t>5.开展仿制药质量和疗效</w:t>
      </w:r>
      <w:r>
        <w:rPr>
          <w:rFonts w:eastAsia="仿宋_GB2312"/>
          <w:kern w:val="0"/>
          <w:sz w:val="32"/>
          <w:szCs w:val="32"/>
          <w:lang w:bidi="ar"/>
        </w:rPr>
        <w:t>一致性评价工作的；</w:t>
      </w:r>
    </w:p>
    <w:p w14:paraId="20F660C3">
      <w:pPr>
        <w:spacing w:line="594" w:lineRule="exact"/>
        <w:ind w:firstLine="640" w:firstLineChars="200"/>
        <w:rPr>
          <w:rFonts w:eastAsia="仿宋_GB2312"/>
          <w:kern w:val="0"/>
          <w:sz w:val="32"/>
          <w:szCs w:val="32"/>
        </w:rPr>
      </w:pPr>
      <w:r>
        <w:rPr>
          <w:rFonts w:eastAsia="仿宋_GB2312"/>
          <w:kern w:val="0"/>
          <w:sz w:val="32"/>
          <w:szCs w:val="32"/>
        </w:rPr>
        <w:t>6.药品监督管理部门要求开展相关工作的。</w:t>
      </w:r>
    </w:p>
    <w:p w14:paraId="548DC8BF">
      <w:pPr>
        <w:spacing w:line="594" w:lineRule="exact"/>
        <w:ind w:firstLine="640" w:firstLineChars="200"/>
        <w:rPr>
          <w:rFonts w:eastAsia="黑体"/>
          <w:kern w:val="0"/>
          <w:sz w:val="32"/>
          <w:szCs w:val="32"/>
        </w:rPr>
      </w:pPr>
      <w:r>
        <w:rPr>
          <w:rFonts w:eastAsia="黑体"/>
          <w:kern w:val="0"/>
          <w:sz w:val="32"/>
          <w:szCs w:val="32"/>
        </w:rPr>
        <w:t>五、药品批准证明文件及其附件载明信息变化情况</w:t>
      </w:r>
    </w:p>
    <w:p w14:paraId="1FB33059">
      <w:pPr>
        <w:spacing w:line="594" w:lineRule="exact"/>
        <w:ind w:firstLine="640" w:firstLineChars="200"/>
        <w:rPr>
          <w:rFonts w:eastAsia="仿宋_GB2312"/>
          <w:kern w:val="0"/>
          <w:sz w:val="32"/>
          <w:szCs w:val="32"/>
        </w:rPr>
      </w:pPr>
      <w:r>
        <w:rPr>
          <w:rFonts w:eastAsia="仿宋_GB2312"/>
          <w:kern w:val="0"/>
          <w:sz w:val="32"/>
          <w:szCs w:val="32"/>
        </w:rPr>
        <w:t>提供药品再注册周期内，药品批准证明文件及其附件载明信息变更的详表，详表内容包括变更事项和内容、变更日期、变更管理类别以及审批、备案和报告状态等。已提交补充申请但尚在审评审批阶段以及已完成备案但尚在审查阶段的变更情况也应</w:t>
      </w:r>
      <w:r>
        <w:rPr>
          <w:rFonts w:hint="eastAsia" w:eastAsia="仿宋_GB2312"/>
          <w:kern w:val="0"/>
          <w:sz w:val="32"/>
          <w:szCs w:val="32"/>
        </w:rPr>
        <w:t>当</w:t>
      </w:r>
      <w:r>
        <w:rPr>
          <w:rFonts w:eastAsia="仿宋_GB2312"/>
          <w:kern w:val="0"/>
          <w:sz w:val="32"/>
          <w:szCs w:val="32"/>
        </w:rPr>
        <w:t>填报。</w:t>
      </w:r>
    </w:p>
    <w:p w14:paraId="1380166F">
      <w:pPr>
        <w:spacing w:line="594" w:lineRule="exact"/>
        <w:ind w:firstLine="640" w:firstLineChars="200"/>
        <w:rPr>
          <w:rFonts w:eastAsia="黑体"/>
          <w:kern w:val="0"/>
          <w:sz w:val="32"/>
          <w:szCs w:val="32"/>
        </w:rPr>
      </w:pPr>
      <w:r>
        <w:rPr>
          <w:rFonts w:eastAsia="黑体"/>
          <w:kern w:val="0"/>
          <w:sz w:val="32"/>
          <w:szCs w:val="32"/>
        </w:rPr>
        <w:t>六、药品生产、销售、抽检情况总结</w:t>
      </w:r>
    </w:p>
    <w:p w14:paraId="684E3322">
      <w:pPr>
        <w:spacing w:line="594" w:lineRule="exact"/>
        <w:ind w:firstLine="640" w:firstLineChars="200"/>
        <w:rPr>
          <w:rFonts w:eastAsia="仿宋_GB2312"/>
          <w:kern w:val="0"/>
          <w:sz w:val="32"/>
          <w:szCs w:val="32"/>
        </w:rPr>
      </w:pPr>
      <w:r>
        <w:rPr>
          <w:rFonts w:eastAsia="仿宋_GB2312"/>
          <w:kern w:val="0"/>
          <w:sz w:val="32"/>
          <w:szCs w:val="32"/>
        </w:rPr>
        <w:t>总结药品再注册周期内药品生产、上市销售及被抽检的情况。对抽检不合格的应当提供原因分析、风险评估及采取的措施等情况说明。</w:t>
      </w:r>
    </w:p>
    <w:p w14:paraId="44E59208">
      <w:pPr>
        <w:spacing w:line="594" w:lineRule="exact"/>
        <w:ind w:firstLine="640" w:firstLineChars="200"/>
        <w:outlineLvl w:val="1"/>
        <w:rPr>
          <w:rFonts w:eastAsia="黑体"/>
          <w:kern w:val="0"/>
          <w:sz w:val="32"/>
          <w:szCs w:val="32"/>
        </w:rPr>
      </w:pPr>
      <w:r>
        <w:rPr>
          <w:rFonts w:eastAsia="黑体"/>
          <w:kern w:val="0"/>
          <w:sz w:val="32"/>
          <w:szCs w:val="32"/>
        </w:rPr>
        <w:t>七、其他</w:t>
      </w:r>
    </w:p>
    <w:p w14:paraId="602B630C">
      <w:pPr>
        <w:spacing w:line="594" w:lineRule="exact"/>
        <w:ind w:firstLine="640" w:firstLineChars="200"/>
        <w:rPr>
          <w:rFonts w:eastAsia="仿宋_GB2312"/>
          <w:kern w:val="0"/>
          <w:sz w:val="32"/>
          <w:szCs w:val="32"/>
        </w:rPr>
      </w:pPr>
      <w:r>
        <w:rPr>
          <w:rFonts w:eastAsia="仿宋_GB2312"/>
          <w:kern w:val="0"/>
          <w:sz w:val="32"/>
          <w:szCs w:val="32"/>
        </w:rPr>
        <w:t>药品监管部门要求提供的其他材料。</w:t>
      </w:r>
    </w:p>
    <w:p w14:paraId="210C7471">
      <w:pPr>
        <w:spacing w:line="594" w:lineRule="exact"/>
        <w:rPr>
          <w:rFonts w:eastAsia="仿宋_GB2312"/>
          <w:sz w:val="28"/>
          <w:szCs w:val="28"/>
        </w:rPr>
      </w:pPr>
    </w:p>
    <w:p w14:paraId="32D9DF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05"/>
    <w:rsid w:val="001C6C05"/>
    <w:rsid w:val="00215A57"/>
    <w:rsid w:val="00D67046"/>
    <w:rsid w:val="00ED426B"/>
    <w:rsid w:val="2CE12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3"/>
    <w:basedOn w:val="1"/>
    <w:next w:val="1"/>
    <w:link w:val="1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标题 1 Char"/>
    <w:basedOn w:val="7"/>
    <w:link w:val="3"/>
    <w:qFormat/>
    <w:uiPriority w:val="9"/>
    <w:rPr>
      <w:rFonts w:ascii="宋体" w:hAnsi="宋体" w:eastAsia="宋体" w:cs="宋体"/>
      <w:b/>
      <w:bCs/>
      <w:kern w:val="36"/>
      <w:sz w:val="48"/>
      <w:szCs w:val="48"/>
    </w:rPr>
  </w:style>
  <w:style w:type="character" w:customStyle="1" w:styleId="11">
    <w:name w:val="标题 3 Char"/>
    <w:basedOn w:val="7"/>
    <w:link w:val="2"/>
    <w:semiHidden/>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1123</Words>
  <Characters>1129</Characters>
  <Lines>8</Lines>
  <Paragraphs>2</Paragraphs>
  <TotalTime>0</TotalTime>
  <ScaleCrop>false</ScaleCrop>
  <LinksUpToDate>false</LinksUpToDate>
  <CharactersWithSpaces>1129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2024-10-11T09:59:00Z</dcterms:created>
  <dc:creator>pc</dc:creator>
  <cp:lastModifiedBy>Polaris</cp:lastModifiedBy>
  <dcterms:modified xsi:type="dcterms:W3CDTF">2024-10-12T01:15:02Z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7594E4B4B32F4FEFB958D6CF9AF4CFFD_13</vt:lpwstr>
  </property>
</Properties>
</file>