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FA66F" w14:textId="7C26E133" w:rsidR="00511AB5" w:rsidRPr="00106184" w:rsidRDefault="008C708A" w:rsidP="00E52683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06184">
        <w:rPr>
          <w:rFonts w:ascii="Times New Roman" w:eastAsia="黑体" w:hAnsi="Times New Roman" w:cs="Times New Roman"/>
          <w:sz w:val="32"/>
          <w:szCs w:val="32"/>
        </w:rPr>
        <w:t>附件</w:t>
      </w:r>
      <w:r w:rsidR="00291525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6F09DA7" w14:textId="2409291A" w:rsidR="00511AB5" w:rsidRPr="00106184" w:rsidRDefault="0030061D">
      <w:pPr>
        <w:spacing w:line="680" w:lineRule="exact"/>
        <w:ind w:firstLine="66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06184">
        <w:rPr>
          <w:rFonts w:ascii="Times New Roman" w:eastAsia="方正小标宋简体" w:hAnsi="Times New Roman" w:cs="Times New Roman"/>
          <w:sz w:val="44"/>
          <w:szCs w:val="44"/>
        </w:rPr>
        <w:t>《先进治疗药品的范围、归类和释义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（征求意见</w:t>
      </w:r>
      <w:r w:rsidRPr="006B16E9">
        <w:rPr>
          <w:rFonts w:ascii="Times New Roman" w:eastAsia="方正小标宋简体" w:hAnsi="Times New Roman" w:cs="Times New Roman" w:hint="eastAsia"/>
          <w:sz w:val="44"/>
          <w:szCs w:val="44"/>
        </w:rPr>
        <w:t>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）</w:t>
      </w:r>
      <w:r w:rsidRPr="00106184">
        <w:rPr>
          <w:rFonts w:ascii="Times New Roman" w:eastAsia="方正小标宋简体" w:hAnsi="Times New Roman" w:cs="Times New Roman"/>
          <w:sz w:val="44"/>
          <w:szCs w:val="44"/>
        </w:rPr>
        <w:t>》</w:t>
      </w:r>
      <w:r w:rsidR="008C708A" w:rsidRPr="00106184">
        <w:rPr>
          <w:rFonts w:ascii="Times New Roman" w:eastAsia="方正小标宋简体" w:hAnsi="Times New Roman" w:cs="Times New Roman"/>
          <w:sz w:val="44"/>
          <w:szCs w:val="44"/>
        </w:rPr>
        <w:t>起草说明</w:t>
      </w:r>
    </w:p>
    <w:p w14:paraId="37DD0BC0" w14:textId="77777777" w:rsidR="00511AB5" w:rsidRPr="00106184" w:rsidRDefault="00511AB5">
      <w:pPr>
        <w:overflowPunct w:val="0"/>
        <w:spacing w:line="6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highlight w:val="lightGray"/>
        </w:rPr>
      </w:pPr>
    </w:p>
    <w:p w14:paraId="361896CC" w14:textId="7AA503FD" w:rsidR="00511AB5" w:rsidRPr="00106184" w:rsidRDefault="008C708A" w:rsidP="00054BCC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统一规范我国先进治疗药品的范围及归类，</w:t>
      </w:r>
      <w:r w:rsidR="009F437E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促进分级分类科学监管，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助力监管与国际接轨，规范引导企业研发申报</w:t>
      </w:r>
      <w:r w:rsidR="003434B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ED1814" w:rsidRPr="003A65F2">
        <w:rPr>
          <w:rFonts w:ascii="Times New Roman" w:eastAsia="仿宋_GB2312" w:hAnsi="Times New Roman" w:cs="Times New Roman"/>
          <w:sz w:val="32"/>
          <w:szCs w:val="32"/>
        </w:rPr>
        <w:t>加速这类药品的审评、审批上市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促进产业高质量发展，更好地满足人民健康需求</w:t>
      </w:r>
      <w:r w:rsidR="003434B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根据全球先进治疗药品监管政策及分类框架调研、我国产业发展</w:t>
      </w:r>
      <w:r w:rsidR="003434B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阶段及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研发成熟度、法规及指南规范制</w:t>
      </w:r>
      <w:proofErr w:type="gramStart"/>
      <w:r w:rsidR="007B0B72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修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定</w:t>
      </w:r>
      <w:proofErr w:type="gramEnd"/>
      <w:r w:rsidR="007E487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14259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情况，</w:t>
      </w:r>
      <w:r w:rsidR="0014259B" w:rsidRPr="001061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以及</w:t>
      </w:r>
      <w:r w:rsidR="005A7E6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学术界</w:t>
      </w:r>
      <w:r w:rsidR="005A7E6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、工</w:t>
      </w:r>
      <w:r w:rsidR="007B0B72" w:rsidRPr="001061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业界</w:t>
      </w:r>
      <w:r w:rsidR="0014259B" w:rsidRPr="0010618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专家意见</w:t>
      </w:r>
      <w:r w:rsidR="007B0B72" w:rsidRPr="00106184">
        <w:rPr>
          <w:rFonts w:ascii="Times New Roman" w:eastAsia="仿宋_GB2312" w:hAnsi="Times New Roman" w:cs="Times New Roman"/>
          <w:sz w:val="32"/>
          <w:szCs w:val="32"/>
        </w:rPr>
        <w:t>，</w:t>
      </w:r>
      <w:r w:rsidR="00FD1AF5" w:rsidRPr="00106184">
        <w:rPr>
          <w:rFonts w:ascii="Times New Roman" w:eastAsia="仿宋_GB2312" w:hAnsi="Times New Roman" w:cs="Times New Roman"/>
          <w:sz w:val="32"/>
          <w:szCs w:val="32"/>
        </w:rPr>
        <w:t>在国家药监局药品注册司的指导下，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国家药监</w:t>
      </w:r>
      <w:proofErr w:type="gramStart"/>
      <w:r w:rsidRPr="00106184">
        <w:rPr>
          <w:rFonts w:ascii="Times New Roman" w:eastAsia="仿宋_GB2312" w:hAnsi="Times New Roman" w:cs="Times New Roman"/>
          <w:sz w:val="32"/>
          <w:szCs w:val="32"/>
        </w:rPr>
        <w:t>局药审中心</w:t>
      </w:r>
      <w:proofErr w:type="gramEnd"/>
      <w:r w:rsidRPr="00106184">
        <w:rPr>
          <w:rFonts w:ascii="Times New Roman" w:eastAsia="仿宋_GB2312" w:hAnsi="Times New Roman" w:cs="Times New Roman"/>
          <w:sz w:val="32"/>
          <w:szCs w:val="32"/>
        </w:rPr>
        <w:t>组织起草了</w:t>
      </w:r>
      <w:r w:rsidR="00054BCC" w:rsidRPr="00106184">
        <w:rPr>
          <w:rFonts w:ascii="Times New Roman" w:eastAsia="仿宋_GB2312" w:hAnsi="Times New Roman" w:cs="Times New Roman"/>
          <w:sz w:val="32"/>
          <w:szCs w:val="32"/>
        </w:rPr>
        <w:t>《先进治疗药品的范围、归</w:t>
      </w:r>
      <w:r w:rsidR="00054BCC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类和释义》文件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。现将起草情况说明如下：</w:t>
      </w:r>
    </w:p>
    <w:p w14:paraId="685DE5FA" w14:textId="77777777" w:rsidR="00511AB5" w:rsidRPr="00106184" w:rsidRDefault="008C708A" w:rsidP="005E4DF3">
      <w:pPr>
        <w:pStyle w:val="af2"/>
        <w:ind w:firstLine="643"/>
      </w:pPr>
      <w:r w:rsidRPr="00106184">
        <w:t>一、起草背景和目的</w:t>
      </w:r>
    </w:p>
    <w:p w14:paraId="754C87CD" w14:textId="4062310A" w:rsidR="00511AB5" w:rsidRPr="00106184" w:rsidRDefault="00A448DB">
      <w:pPr>
        <w:overflowPunct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lightGray"/>
        </w:rPr>
      </w:pPr>
      <w:bookmarkStart w:id="0" w:name="OLE_LINK2"/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先进治疗领域是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生命科学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的核心赛道，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是培育未来产业、推动生物经济高质量发展的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新质生产力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B51D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之一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占据生物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制造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创新战略高地，国际竞争日趋激烈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。国际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主</w:t>
      </w:r>
      <w:r w:rsidR="00ED181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要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药品监管机构均在</w:t>
      </w:r>
      <w:r w:rsidR="007B0B72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布局和完善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先进治疗领域法律法规</w:t>
      </w:r>
      <w:r w:rsidR="0037650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</w:t>
      </w:r>
      <w:r w:rsidR="007341E7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监管框架体系的顶层设计。</w:t>
      </w:r>
      <w:r w:rsidR="00ED181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全球</w:t>
      </w:r>
      <w:r w:rsidR="00ED1814">
        <w:rPr>
          <w:rFonts w:ascii="Times New Roman" w:eastAsia="仿宋_GB2312" w:hAnsi="Times New Roman" w:cs="Times New Roman"/>
          <w:color w:val="000000"/>
          <w:sz w:val="32"/>
          <w:szCs w:val="32"/>
        </w:rPr>
        <w:t>范围内</w:t>
      </w:r>
      <w:r w:rsidR="00234583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以细胞</w:t>
      </w:r>
      <w:r w:rsidR="007E487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治疗</w:t>
      </w:r>
      <w:r w:rsidR="007E487F">
        <w:rPr>
          <w:rFonts w:ascii="Times New Roman" w:eastAsia="仿宋_GB2312" w:hAnsi="Times New Roman" w:cs="Times New Roman"/>
          <w:color w:val="000000"/>
          <w:sz w:val="32"/>
          <w:szCs w:val="32"/>
        </w:rPr>
        <w:t>药品</w:t>
      </w:r>
      <w:r w:rsidR="00234583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、基因治疗药品为代表的多个先进治疗药品陆续进入临床试验</w:t>
      </w:r>
      <w:r w:rsidR="007E487F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或获批上市</w:t>
      </w:r>
      <w:r w:rsidR="00234583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，在癌症、罕见遗传疾病等疑难重症的临床治疗方面取得了突破性进展。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目前，我国细胞治疗产业已迈入与国际先进水平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并跑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ED1814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的新阶段</w:t>
      </w:r>
      <w:r w:rsidR="00ED181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234583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然而，</w:t>
      </w:r>
      <w:r w:rsidR="00C2346E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我国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先进治疗药品的范围与</w:t>
      </w:r>
      <w:r w:rsidR="007B0B72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类别划分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，尚缺乏</w:t>
      </w:r>
      <w:r w:rsidR="007B0B72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法规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层面</w:t>
      </w:r>
      <w:r w:rsidR="007B0B72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界定</w:t>
      </w:r>
      <w:r w:rsidR="00C2346E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及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行业共</w:t>
      </w:r>
      <w:bookmarkEnd w:id="0"/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识</w:t>
      </w:r>
      <w:r w:rsidR="00C2346E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这类药物的研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发、技术审评及监管</w:t>
      </w:r>
      <w:r w:rsidR="00C2346E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均面临诸多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挑战。</w:t>
      </w:r>
      <w:bookmarkStart w:id="1" w:name="OLE_LINK4"/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="007B0B72" w:rsidRPr="00106184">
        <w:rPr>
          <w:rFonts w:ascii="Times New Roman" w:eastAsia="仿宋_GB2312" w:hAnsi="Times New Roman" w:cs="Times New Roman"/>
          <w:sz w:val="32"/>
          <w:szCs w:val="32"/>
        </w:rPr>
        <w:t>应对上述问题与挑战</w:t>
      </w:r>
      <w:r w:rsidR="008C708A" w:rsidRPr="00106184">
        <w:rPr>
          <w:rFonts w:ascii="Times New Roman" w:eastAsia="仿宋_GB2312" w:hAnsi="Times New Roman" w:cs="Times New Roman"/>
          <w:sz w:val="32"/>
          <w:szCs w:val="32"/>
        </w:rPr>
        <w:t>，</w:t>
      </w:r>
      <w:r w:rsidR="00234583" w:rsidRPr="00106184">
        <w:rPr>
          <w:rFonts w:ascii="Times New Roman" w:eastAsia="仿宋_GB2312" w:hAnsi="Times New Roman" w:cs="Times New Roman"/>
          <w:sz w:val="32"/>
          <w:szCs w:val="32"/>
        </w:rPr>
        <w:t>统一规范我国先进治疗药品的名称、范围及归类，</w:t>
      </w:r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234583" w:rsidRPr="00106184">
        <w:rPr>
          <w:rFonts w:ascii="Times New Roman" w:eastAsia="仿宋_GB2312" w:hAnsi="Times New Roman" w:cs="Times New Roman"/>
          <w:sz w:val="32"/>
          <w:szCs w:val="32"/>
        </w:rPr>
        <w:t>加速</w:t>
      </w:r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审评</w:t>
      </w:r>
      <w:r w:rsidR="00234583" w:rsidRPr="00106184">
        <w:rPr>
          <w:rFonts w:ascii="Times New Roman" w:eastAsia="仿宋_GB2312" w:hAnsi="Times New Roman" w:cs="Times New Roman"/>
          <w:sz w:val="32"/>
          <w:szCs w:val="32"/>
        </w:rPr>
        <w:t>审批</w:t>
      </w:r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、合</w:t>
      </w:r>
      <w:proofErr w:type="gramStart"/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监管与规范引导共同发力，</w:t>
      </w:r>
      <w:r w:rsidR="00C9096C" w:rsidRPr="00106184">
        <w:rPr>
          <w:rFonts w:ascii="Times New Roman" w:eastAsia="仿宋_GB2312" w:hAnsi="Times New Roman" w:cs="Times New Roman"/>
          <w:sz w:val="32"/>
          <w:szCs w:val="32"/>
        </w:rPr>
        <w:t>更好地促进</w:t>
      </w:r>
      <w:r w:rsidR="00C2346E" w:rsidRPr="00106184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C9096C" w:rsidRPr="00106184">
        <w:rPr>
          <w:rFonts w:ascii="Times New Roman" w:eastAsia="仿宋_GB2312" w:hAnsi="Times New Roman" w:cs="Times New Roman"/>
          <w:sz w:val="32"/>
          <w:szCs w:val="32"/>
        </w:rPr>
        <w:t>产业高质量发展，</w:t>
      </w:r>
      <w:r w:rsidR="007B0B72" w:rsidRPr="00E762B6">
        <w:rPr>
          <w:rFonts w:ascii="Times New Roman" w:eastAsia="仿宋_GB2312" w:hAnsi="Times New Roman" w:cs="Times New Roman"/>
          <w:sz w:val="32"/>
          <w:szCs w:val="32"/>
        </w:rPr>
        <w:t>加强监管国际协调</w:t>
      </w:r>
      <w:r w:rsidR="00E52683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7B0B72" w:rsidRPr="00E762B6">
        <w:rPr>
          <w:rFonts w:ascii="Times New Roman" w:eastAsia="仿宋_GB2312" w:hAnsi="Times New Roman" w:cs="Times New Roman"/>
          <w:sz w:val="32"/>
          <w:szCs w:val="32"/>
        </w:rPr>
        <w:t>趋同</w:t>
      </w:r>
      <w:r w:rsidR="008C708A" w:rsidRPr="00E762B6">
        <w:rPr>
          <w:rFonts w:ascii="Times New Roman" w:eastAsia="仿宋_GB2312" w:hAnsi="Times New Roman" w:cs="Times New Roman"/>
          <w:sz w:val="32"/>
          <w:szCs w:val="32"/>
        </w:rPr>
        <w:t>，特制定《</w:t>
      </w:r>
      <w:r w:rsidR="00C9096C" w:rsidRPr="00E762B6">
        <w:rPr>
          <w:rFonts w:ascii="Times New Roman" w:eastAsia="仿宋_GB2312" w:hAnsi="Times New Roman" w:cs="Times New Roman"/>
          <w:sz w:val="32"/>
          <w:szCs w:val="32"/>
        </w:rPr>
        <w:t>先进治疗药品的范围、归类和释义</w:t>
      </w:r>
      <w:r w:rsidR="008C708A" w:rsidRPr="00E762B6">
        <w:rPr>
          <w:rFonts w:ascii="Times New Roman" w:eastAsia="仿宋_GB2312" w:hAnsi="Times New Roman" w:cs="Times New Roman"/>
          <w:sz w:val="32"/>
          <w:szCs w:val="32"/>
        </w:rPr>
        <w:t>》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文件</w:t>
      </w:r>
      <w:r w:rsidR="00C9096C" w:rsidRPr="00106184">
        <w:rPr>
          <w:rFonts w:ascii="Times New Roman" w:eastAsia="仿宋_GB2312" w:hAnsi="Times New Roman" w:cs="Times New Roman"/>
          <w:sz w:val="32"/>
          <w:szCs w:val="32"/>
        </w:rPr>
        <w:t>。</w:t>
      </w:r>
    </w:p>
    <w:bookmarkEnd w:id="1"/>
    <w:p w14:paraId="1402B777" w14:textId="094DA2CD" w:rsidR="00511AB5" w:rsidRPr="005E4DF3" w:rsidRDefault="008C708A" w:rsidP="005E4DF3">
      <w:pPr>
        <w:pStyle w:val="af2"/>
        <w:ind w:firstLine="643"/>
      </w:pPr>
      <w:r w:rsidRPr="005E4DF3">
        <w:t>二、起草过程</w:t>
      </w:r>
      <w:r w:rsidR="00131B9F" w:rsidRPr="005E4DF3">
        <w:tab/>
      </w:r>
    </w:p>
    <w:p w14:paraId="535C6FC9" w14:textId="3BF66244" w:rsidR="005F112B" w:rsidRPr="00122270" w:rsidRDefault="00231956" w:rsidP="002D293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trike/>
          <w:color w:val="00000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根据国家局的统一部署，</w:t>
      </w:r>
      <w:proofErr w:type="gramStart"/>
      <w:r w:rsidR="008C708A" w:rsidRPr="00106184">
        <w:rPr>
          <w:rFonts w:ascii="Times New Roman" w:eastAsia="仿宋_GB2312" w:hAnsi="Times New Roman" w:cs="Times New Roman"/>
          <w:sz w:val="32"/>
          <w:szCs w:val="32"/>
        </w:rPr>
        <w:t>药审中心</w:t>
      </w:r>
      <w:proofErr w:type="gramEnd"/>
      <w:r w:rsidR="008C708A" w:rsidRPr="00106184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成立起草工作小组，经前期调研、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业界</w:t>
      </w:r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座谈会讨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论及</w:t>
      </w:r>
      <w:r w:rsidR="00DB48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内部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意见</w:t>
      </w:r>
      <w:r w:rsidR="00DB4825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征</w:t>
      </w:r>
      <w:r w:rsidR="00DB48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集</w:t>
      </w:r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，形成</w:t>
      </w:r>
      <w:r w:rsidR="00E5268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了</w:t>
      </w:r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《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先进治疗药品的范围、归类和释义</w:t>
      </w:r>
      <w:r w:rsidR="00DB48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DB4825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讨论稿</w:t>
      </w:r>
      <w:r w:rsidR="00DB48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8C708A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》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月，中心代表参加了</w:t>
      </w:r>
      <w:r w:rsidR="00131B9F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世界卫生组织（</w:t>
      </w:r>
      <w:r w:rsidR="00FB5E9F" w:rsidRPr="00FB5E9F">
        <w:rPr>
          <w:rFonts w:ascii="Times New Roman" w:eastAsia="仿宋_GB2312" w:hAnsi="Times New Roman" w:cs="Times New Roman"/>
          <w:color w:val="000000"/>
          <w:sz w:val="32"/>
          <w:szCs w:val="32"/>
        </w:rPr>
        <w:t>World Health Organization</w:t>
      </w:r>
      <w:r w:rsidR="00FB5E9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WHO</w:t>
      </w:r>
      <w:r w:rsidR="00131B9F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召开的</w:t>
      </w:r>
      <w:r w:rsidR="00E5268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细胞和前沿治疗药物监管</w:t>
      </w:r>
      <w:r w:rsidR="00E5268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主题大会，</w:t>
      </w:r>
      <w:r w:rsidR="00131B9F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我国代表关于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先进治疗药品范围和归类</w:t>
      </w:r>
      <w:r w:rsidR="00131B9F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的观点及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内容介绍，获得了国际</w:t>
      </w:r>
      <w:r w:rsidR="005A7E6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</w:t>
      </w:r>
      <w:r w:rsidR="002D2936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监管机构代表的认可。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2025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日，</w:t>
      </w:r>
      <w:proofErr w:type="gramStart"/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药审中心</w:t>
      </w:r>
      <w:proofErr w:type="gramEnd"/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组织召开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先进治疗药品范围和描述及优化相关审评审批机制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专家座谈会，邀请学术界、</w:t>
      </w:r>
      <w:r w:rsidR="005A7E6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业界专家代表共计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余人</w:t>
      </w:r>
      <w:r w:rsidR="006000C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 w:rsidR="006000C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讨论稿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进行审议和</w:t>
      </w:r>
      <w:r w:rsidR="005F112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意见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征集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F112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共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收到专家</w:t>
      </w:r>
      <w:r w:rsidR="005F112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及企业代表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意见</w:t>
      </w:r>
      <w:r w:rsidR="006000C2">
        <w:rPr>
          <w:rFonts w:ascii="Times New Roman" w:eastAsia="仿宋_GB2312" w:hAnsi="Times New Roman" w:cs="Times New Roman"/>
          <w:color w:val="000000"/>
          <w:sz w:val="32"/>
          <w:szCs w:val="32"/>
        </w:rPr>
        <w:t>70</w:t>
      </w:r>
      <w:r w:rsidR="006000C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余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条。</w:t>
      </w:r>
      <w:r w:rsidR="005F112B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我中心对反馈意见逐条梳理、研究讨论，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对大部分意见</w:t>
      </w:r>
      <w:r w:rsidR="006E7EE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或建议</w:t>
      </w:r>
      <w:r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予以采纳。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结合反馈意见采纳及讨论情况，</w:t>
      </w:r>
      <w:r w:rsidR="00040B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修订完善形成</w:t>
      </w:r>
      <w:r w:rsidR="006E7EE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了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《</w:t>
      </w:r>
      <w:bookmarkStart w:id="2" w:name="_Hlk193647952"/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先进治疗药品的范围、归类和释义</w:t>
      </w:r>
      <w:bookmarkEnd w:id="2"/>
      <w:r w:rsidR="00040B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040B82" w:rsidRPr="00040B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征求意见稿</w:t>
      </w:r>
      <w:r w:rsidR="00040B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587891" w:rsidRPr="00106184">
        <w:rPr>
          <w:rFonts w:ascii="Times New Roman" w:eastAsia="仿宋_GB2312" w:hAnsi="Times New Roman" w:cs="Times New Roman"/>
          <w:color w:val="000000"/>
          <w:sz w:val="32"/>
          <w:szCs w:val="32"/>
        </w:rPr>
        <w:t>》。</w:t>
      </w:r>
    </w:p>
    <w:p w14:paraId="3EB47C87" w14:textId="163A3DAA" w:rsidR="00511AB5" w:rsidRPr="005E4DF3" w:rsidRDefault="008C708A" w:rsidP="005E4DF3">
      <w:pPr>
        <w:pStyle w:val="af2"/>
        <w:ind w:firstLine="643"/>
      </w:pPr>
      <w:r w:rsidRPr="005E4DF3">
        <w:t>三、主要内容和说明</w:t>
      </w:r>
    </w:p>
    <w:p w14:paraId="066750B0" w14:textId="381D24CC" w:rsidR="00726851" w:rsidRPr="00106184" w:rsidRDefault="00587891" w:rsidP="005878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sz w:val="32"/>
          <w:szCs w:val="32"/>
        </w:rPr>
        <w:t>《</w:t>
      </w:r>
      <w:r w:rsidR="00CE1B7A" w:rsidRPr="00106184">
        <w:rPr>
          <w:rFonts w:ascii="Times New Roman" w:eastAsia="仿宋_GB2312" w:hAnsi="Times New Roman" w:cs="Times New Roman"/>
          <w:sz w:val="32"/>
          <w:szCs w:val="32"/>
        </w:rPr>
        <w:t>先进治疗药品的范围、归类和释义</w:t>
      </w:r>
      <w:r w:rsidR="00040B8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40B82" w:rsidRPr="00040B82">
        <w:rPr>
          <w:rFonts w:ascii="Times New Roman" w:eastAsia="仿宋_GB2312" w:hAnsi="Times New Roman" w:cs="Times New Roman" w:hint="eastAsia"/>
          <w:sz w:val="32"/>
          <w:szCs w:val="32"/>
        </w:rPr>
        <w:t>征求意见稿</w:t>
      </w:r>
      <w:r w:rsidR="00040B8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》明确了</w:t>
      </w:r>
      <w:r w:rsidR="00CE1B7A" w:rsidRPr="00106184">
        <w:rPr>
          <w:rFonts w:ascii="Times New Roman" w:eastAsia="仿宋_GB2312" w:hAnsi="Times New Roman" w:cs="Times New Roman"/>
          <w:sz w:val="32"/>
          <w:szCs w:val="32"/>
        </w:rPr>
        <w:t>先进治疗药品的名称、释义及范围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具体类别归属</w:t>
      </w:r>
      <w:r w:rsidR="00050BB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以及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各亚类名称</w:t>
      </w:r>
      <w:r w:rsidR="00050BB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和描述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，并对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类别划分的总体原则</w:t>
      </w:r>
      <w:r w:rsidR="00050BB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与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科学逻辑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进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行了</w:t>
      </w:r>
      <w:r w:rsidR="00ED181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阐</w:t>
      </w:r>
      <w:r w:rsidR="00ED181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述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4CE8085" w14:textId="35691319" w:rsidR="00587891" w:rsidRPr="00106184" w:rsidRDefault="00726851" w:rsidP="005878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文件第二部分，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结合我国产业发展和监管现状，参考国际药品监管机构的命名</w:t>
      </w:r>
      <w:r w:rsidR="0071512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规范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突出</w:t>
      </w:r>
      <w:r w:rsidR="0071512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该类药品的创新属性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，将</w:t>
      </w:r>
      <w:r w:rsidR="009E39BE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符合释义特点的一类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产品命名为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先进治疗药品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，英文名称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仍</w:t>
      </w:r>
      <w:r w:rsidR="009E39BE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沿用国际命名规范</w:t>
      </w:r>
      <w:r w:rsidR="00B633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，称为</w:t>
      </w:r>
      <w:r w:rsidR="00B6334C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B6334C" w:rsidRPr="00B633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Advanced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t</w:t>
      </w:r>
      <w:r w:rsidR="00B6334C" w:rsidRPr="00B633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herapy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r w:rsidR="00B6334C" w:rsidRPr="00B6334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edicinal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p</w:t>
      </w:r>
      <w:r w:rsidR="00B6334C" w:rsidRPr="00B6334C">
        <w:rPr>
          <w:rFonts w:ascii="Times New Roman" w:eastAsia="仿宋_GB2312" w:hAnsi="Times New Roman" w:cs="Times New Roman"/>
          <w:kern w:val="0"/>
          <w:sz w:val="32"/>
          <w:szCs w:val="32"/>
        </w:rPr>
        <w:t>roducts</w:t>
      </w:r>
      <w:r w:rsidR="00B6334C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9E39BE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缩写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ATMPs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。其释义及范围明确应符合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相关管理规定中</w:t>
      </w:r>
      <w:r w:rsidR="00B633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关于</w:t>
      </w:r>
      <w:r w:rsidR="00B6334C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药品</w:t>
      </w:r>
      <w:r w:rsidR="00B633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定义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，且</w:t>
      </w:r>
      <w:r w:rsidR="00B633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未纳入“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预防用疫苗</w:t>
      </w:r>
      <w:r w:rsidR="00B633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以及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部分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归属国家卫生健康委员会管理的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医疗技术。考虑到该类药品</w:t>
      </w:r>
      <w:r w:rsidR="005768A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的研制和生产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可能涉及利用人类遗传资源</w:t>
      </w:r>
      <w:r w:rsidR="005768A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或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病原微生物等，</w:t>
      </w:r>
      <w:r w:rsidR="00906E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因此</w:t>
      </w:r>
      <w:r w:rsidR="00906ECB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768A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明确其</w:t>
      </w:r>
      <w:r w:rsidR="003C542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应</w:t>
      </w:r>
      <w:r w:rsidR="005768A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当遵守</w:t>
      </w:r>
      <w:r w:rsidR="0071512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我国关于人类遗传资源的管理规定，并符合相关伦理以及生物安全相关法律法规要求。</w:t>
      </w:r>
    </w:p>
    <w:p w14:paraId="23083520" w14:textId="7F4E2313" w:rsidR="00715125" w:rsidRDefault="00715125" w:rsidP="00435FB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文件第三部分，</w:t>
      </w:r>
      <w:r w:rsidR="00C5611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基于</w:t>
      </w:r>
      <w:r w:rsidR="00541C0A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药</w:t>
      </w:r>
      <w:r w:rsidR="00541C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品</w:t>
      </w:r>
      <w:r w:rsidR="00C5611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的物质基础</w:t>
      </w:r>
      <w:r w:rsidR="00690054" w:rsidRPr="003A65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及活性成分</w:t>
      </w:r>
      <w:r w:rsidR="00C5611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、工艺及技术特点、功能用途及作用机理，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结合研发成熟度及国际</w:t>
      </w:r>
      <w:r w:rsidR="005577D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分类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规范，将我国先进治疗药品划分为以下三大类：细胞治疗药品（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Cell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t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herapy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edicinal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p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roducts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CTMPs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基因治疗药品（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Gene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t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herapy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edicinal </w:t>
      </w:r>
      <w:r w:rsidR="00633458">
        <w:rPr>
          <w:rFonts w:ascii="Times New Roman" w:eastAsia="仿宋_GB2312" w:hAnsi="Times New Roman" w:cs="Times New Roman"/>
          <w:kern w:val="0"/>
          <w:sz w:val="32"/>
          <w:szCs w:val="32"/>
        </w:rPr>
        <w:t>p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roducts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GTMPs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其他。明确了上述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三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药品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的具体释义及特点。并针对每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一</w:t>
      </w:r>
      <w:r w:rsidR="005577D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大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类进一步划分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不同亚类，具体归类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亚类示意如下：</w:t>
      </w:r>
    </w:p>
    <w:p w14:paraId="3149834F" w14:textId="516273EE" w:rsidR="00505FF5" w:rsidRPr="00106184" w:rsidRDefault="00A51690" w:rsidP="00697AA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1690"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28C1816" wp14:editId="273306D2">
            <wp:simplePos x="0" y="0"/>
            <wp:positionH relativeFrom="column">
              <wp:posOffset>334239</wp:posOffset>
            </wp:positionH>
            <wp:positionV relativeFrom="paragraph">
              <wp:posOffset>0</wp:posOffset>
            </wp:positionV>
            <wp:extent cx="4462145" cy="3273425"/>
            <wp:effectExtent l="0" t="0" r="0" b="3175"/>
            <wp:wrapTopAndBottom/>
            <wp:docPr id="1" name="图片 1" descr="I:\最近待办\3.20先进治疗产品定义、分类研讨会会议筹备-联系速记 整理参考资料\发文打印\征求意见稿发布相关\先进治疗药品分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最近待办\3.20先进治疗产品定义、分类研讨会会议筹备-联系速记 整理参考资料\发文打印\征求意见稿发布相关\先进治疗药品分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"/>
                    <a:stretch/>
                  </pic:blipFill>
                  <pic:spPr bwMode="auto">
                    <a:xfrm>
                      <a:off x="0" y="0"/>
                      <a:ext cx="446214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文件第四部分，对先进治疗药品的归类</w:t>
      </w:r>
      <w:r w:rsidR="00906E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亚类划分</w:t>
      </w:r>
      <w:r w:rsidR="005577D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原则及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科学逻辑进行了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阐</w:t>
      </w:r>
      <w:r w:rsidR="005577D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述</w:t>
      </w:r>
      <w:r w:rsidR="00906E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5577D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示例说明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。上述类别划分</w:t>
      </w:r>
      <w:r w:rsidR="00B37A5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总体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原则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541C0A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药</w:t>
      </w:r>
      <w:r w:rsidR="00541C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品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物质基础及活性成分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要素</w:t>
      </w:r>
      <w:r w:rsidR="00435FBC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为主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，以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906EC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生产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工艺及技术特点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功能用途及作用机制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等要素为辅，综合考虑</w:t>
      </w:r>
      <w:r w:rsidR="00F30DB1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产品成熟度、风险级别</w:t>
      </w:r>
      <w:r w:rsidR="00F30D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CB47E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监管技术要求等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确定其具体类别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归属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。对于部分类别存在交叉或边界的情形，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提出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了归类优先级</w:t>
      </w:r>
      <w:r w:rsidR="0058674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建议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及说明。</w:t>
      </w:r>
      <w:r w:rsidR="00B37A5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对于复杂的</w:t>
      </w:r>
      <w:r w:rsidR="00B37A5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="00B37A5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，鼓励申请人针对其</w:t>
      </w:r>
      <w:r w:rsidR="00CB47E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类别归属</w:t>
      </w:r>
      <w:r w:rsidR="00B37A5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与监管机构沟通交流。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具体划分原则</w:t>
      </w:r>
      <w:r w:rsidR="00CB47E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 w:rsidR="00F30DB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科学</w:t>
      </w:r>
      <w:r w:rsidR="00CB47E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逻辑</w:t>
      </w:r>
      <w:r w:rsidR="00505FF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示意如下：</w:t>
      </w:r>
    </w:p>
    <w:p w14:paraId="08A152E0" w14:textId="7B0CB57B" w:rsidR="00897804" w:rsidRPr="00106184" w:rsidRDefault="00897804" w:rsidP="004026C9">
      <w:pPr>
        <w:autoSpaceDE w:val="0"/>
        <w:autoSpaceDN w:val="0"/>
        <w:adjustRightInd w:val="0"/>
        <w:spacing w:line="560" w:lineRule="exact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8A922F5" w14:textId="7F6E960B" w:rsidR="00897804" w:rsidRPr="00106184" w:rsidRDefault="00897804" w:rsidP="004026C9">
      <w:pPr>
        <w:autoSpaceDE w:val="0"/>
        <w:autoSpaceDN w:val="0"/>
        <w:adjustRightInd w:val="0"/>
        <w:spacing w:line="560" w:lineRule="exact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4E95ECC" w14:textId="10837E09" w:rsidR="00897804" w:rsidRPr="00106184" w:rsidRDefault="00897804" w:rsidP="004026C9">
      <w:pPr>
        <w:autoSpaceDE w:val="0"/>
        <w:autoSpaceDN w:val="0"/>
        <w:adjustRightInd w:val="0"/>
        <w:spacing w:line="560" w:lineRule="exact"/>
        <w:ind w:firstLineChars="300" w:firstLine="96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D2FCD47" w14:textId="47E4DF6A" w:rsidR="005E4DF3" w:rsidRDefault="005E4DF3" w:rsidP="00697AA1">
      <w:pPr>
        <w:autoSpaceDE w:val="0"/>
        <w:autoSpaceDN w:val="0"/>
        <w:adjustRightInd w:val="0"/>
        <w:spacing w:line="560" w:lineRule="exact"/>
        <w:ind w:firstLineChars="300" w:firstLine="964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325BB83B" w14:textId="407A1D7A" w:rsidR="00B75E43" w:rsidRDefault="00B75E43" w:rsidP="00697AA1">
      <w:pPr>
        <w:autoSpaceDE w:val="0"/>
        <w:autoSpaceDN w:val="0"/>
        <w:adjustRightInd w:val="0"/>
        <w:spacing w:line="560" w:lineRule="exact"/>
        <w:ind w:firstLineChars="300" w:firstLine="964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27C9AF5B" w14:textId="57C103D2" w:rsidR="00B75E43" w:rsidRDefault="00B75E43" w:rsidP="00697AA1">
      <w:pPr>
        <w:autoSpaceDE w:val="0"/>
        <w:autoSpaceDN w:val="0"/>
        <w:adjustRightInd w:val="0"/>
        <w:spacing w:line="560" w:lineRule="exact"/>
        <w:ind w:firstLineChars="300" w:firstLine="960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7438C"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39315443" wp14:editId="371F007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191125" cy="3470275"/>
            <wp:effectExtent l="0" t="0" r="9525" b="0"/>
            <wp:wrapTopAndBottom/>
            <wp:docPr id="2" name="图片 2" descr="I:\最近待办\3.20先进治疗产品定义、分类研讨会会议筹备-联系速记 整理参考资料\发文打印\征求意见稿发布相关\归类原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最近待办\3.20先进治疗产品定义、分类研讨会会议筹备-联系速记 整理参考资料\发文打印\征求意见稿发布相关\归类原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3"/>
                    <a:stretch/>
                  </pic:blipFill>
                  <pic:spPr bwMode="auto">
                    <a:xfrm>
                      <a:off x="0" y="0"/>
                      <a:ext cx="519112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58DC6" w14:textId="44AFAB23" w:rsidR="00587891" w:rsidRPr="005E4DF3" w:rsidRDefault="00587891" w:rsidP="005E4DF3">
      <w:pPr>
        <w:pStyle w:val="af2"/>
        <w:ind w:firstLine="643"/>
      </w:pPr>
      <w:r w:rsidRPr="00106184">
        <w:rPr>
          <w:rFonts w:ascii="Times New Roman" w:hAnsi="Times New Roman" w:cs="Times New Roman"/>
        </w:rPr>
        <w:t>四</w:t>
      </w:r>
      <w:r w:rsidRPr="005E4DF3">
        <w:t>、其他需要说明的问题</w:t>
      </w:r>
    </w:p>
    <w:p w14:paraId="15AFA35D" w14:textId="22349EE9" w:rsidR="004D6076" w:rsidRPr="00297FDA" w:rsidRDefault="00587891" w:rsidP="00505CE1">
      <w:pPr>
        <w:pStyle w:val="af5"/>
        <w:ind w:firstLine="643"/>
      </w:pPr>
      <w:r w:rsidRPr="00505CE1">
        <w:t xml:space="preserve"> </w:t>
      </w:r>
      <w:r w:rsidRPr="00297FDA">
        <w:t xml:space="preserve">1. </w:t>
      </w:r>
      <w:r w:rsidR="004D6076" w:rsidRPr="00297FDA">
        <w:t>关于</w:t>
      </w:r>
      <w:r w:rsidR="00B37A53" w:rsidRPr="00297FDA">
        <w:t>先进治疗药品的</w:t>
      </w:r>
      <w:r w:rsidR="004D6076" w:rsidRPr="00297FDA">
        <w:t>名称及范围</w:t>
      </w:r>
    </w:p>
    <w:p w14:paraId="38801659" w14:textId="2418C32D" w:rsidR="003B3801" w:rsidRDefault="00BC75D3" w:rsidP="00FB5E9F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sz w:val="32"/>
          <w:szCs w:val="32"/>
        </w:rPr>
        <w:t>目</w:t>
      </w:r>
      <w:r w:rsidR="00920CB3" w:rsidRPr="00106184">
        <w:rPr>
          <w:rFonts w:ascii="Times New Roman" w:eastAsia="仿宋_GB2312" w:hAnsi="Times New Roman" w:cs="Times New Roman"/>
          <w:sz w:val="32"/>
          <w:szCs w:val="32"/>
        </w:rPr>
        <w:t>前国际主要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监管机构对这类药品的命名均不一致，比如，美国食品药品</w:t>
      </w:r>
      <w:r w:rsidR="00B3599B">
        <w:rPr>
          <w:rFonts w:ascii="Times New Roman" w:eastAsia="仿宋_GB2312" w:hAnsi="Times New Roman" w:cs="Times New Roman" w:hint="eastAsia"/>
          <w:sz w:val="32"/>
          <w:szCs w:val="32"/>
        </w:rPr>
        <w:t>监督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管理局（</w:t>
      </w:r>
      <w:r w:rsidR="00FB5E9F" w:rsidRPr="00FB5E9F">
        <w:rPr>
          <w:rFonts w:ascii="Times New Roman" w:eastAsia="仿宋_GB2312" w:hAnsi="Times New Roman" w:cs="Times New Roman"/>
          <w:sz w:val="32"/>
          <w:szCs w:val="32"/>
        </w:rPr>
        <w:t>Food and Drug Administration</w:t>
      </w:r>
      <w:r w:rsidR="00FB5E9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FDA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）称这类药品为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细胞</w:t>
      </w:r>
      <w:r w:rsidR="00B3599B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基因治疗产品（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Cellular and </w:t>
      </w:r>
      <w:r w:rsidR="00FB5E9F">
        <w:rPr>
          <w:rFonts w:ascii="Times New Roman" w:eastAsia="仿宋_GB2312" w:hAnsi="Times New Roman" w:cs="Times New Roman"/>
          <w:sz w:val="32"/>
          <w:szCs w:val="32"/>
        </w:rPr>
        <w:t>g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ene </w:t>
      </w:r>
      <w:r w:rsidR="00FB5E9F">
        <w:rPr>
          <w:rFonts w:ascii="Times New Roman" w:eastAsia="仿宋_GB2312" w:hAnsi="Times New Roman" w:cs="Times New Roman"/>
          <w:sz w:val="32"/>
          <w:szCs w:val="32"/>
        </w:rPr>
        <w:t>t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herapy </w:t>
      </w:r>
      <w:r w:rsidR="00FB5E9F">
        <w:rPr>
          <w:rFonts w:ascii="Times New Roman" w:eastAsia="仿宋_GB2312" w:hAnsi="Times New Roman" w:cs="Times New Roman"/>
          <w:sz w:val="32"/>
          <w:szCs w:val="32"/>
        </w:rPr>
        <w:t>p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roducts</w:t>
      </w:r>
      <w:r w:rsidR="00C16AF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6AF7">
        <w:rPr>
          <w:rFonts w:ascii="Times New Roman" w:eastAsia="仿宋_GB2312" w:hAnsi="Times New Roman" w:cs="Times New Roman" w:hint="eastAsia"/>
          <w:sz w:val="32"/>
          <w:szCs w:val="32"/>
        </w:rPr>
        <w:t>CGT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等，欧洲药品管理局（</w:t>
      </w:r>
      <w:r w:rsidR="00FB5E9F" w:rsidRPr="00FB5E9F">
        <w:rPr>
          <w:rFonts w:ascii="Times New Roman" w:eastAsia="仿宋_GB2312" w:hAnsi="Times New Roman" w:cs="Times New Roman"/>
          <w:sz w:val="32"/>
          <w:szCs w:val="32"/>
        </w:rPr>
        <w:t>European Medicines Agency</w:t>
      </w:r>
      <w:r w:rsidR="00FB5E9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EMA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WHO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称</w:t>
      </w:r>
      <w:r w:rsidR="00B3599B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先进治疗产品（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Advanced </w:t>
      </w:r>
      <w:r w:rsidR="00633458">
        <w:rPr>
          <w:rFonts w:ascii="Times New Roman" w:eastAsia="仿宋_GB2312" w:hAnsi="Times New Roman" w:cs="Times New Roman"/>
          <w:sz w:val="32"/>
          <w:szCs w:val="32"/>
        </w:rPr>
        <w:t>t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herapy </w:t>
      </w:r>
      <w:r w:rsidR="00633458">
        <w:rPr>
          <w:rFonts w:ascii="Times New Roman" w:eastAsia="仿宋_GB2312" w:hAnsi="Times New Roman" w:cs="Times New Roman"/>
          <w:sz w:val="32"/>
          <w:szCs w:val="32"/>
        </w:rPr>
        <w:t>m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edicinal </w:t>
      </w:r>
      <w:r w:rsidR="00633458">
        <w:rPr>
          <w:rFonts w:ascii="Times New Roman" w:eastAsia="仿宋_GB2312" w:hAnsi="Times New Roman" w:cs="Times New Roman"/>
          <w:sz w:val="32"/>
          <w:szCs w:val="32"/>
        </w:rPr>
        <w:t>p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roduct</w:t>
      </w:r>
      <w:r w:rsidR="00B3599B">
        <w:rPr>
          <w:rFonts w:ascii="Times New Roman" w:eastAsia="仿宋_GB2312" w:hAnsi="Times New Roman" w:cs="Times New Roman" w:hint="eastAsia"/>
          <w:sz w:val="32"/>
          <w:szCs w:val="32"/>
        </w:rPr>
        <w:t>s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ATMP</w:t>
      </w:r>
      <w:r w:rsidR="00B3599B">
        <w:rPr>
          <w:rFonts w:ascii="Times New Roman" w:eastAsia="仿宋_GB2312" w:hAnsi="Times New Roman" w:cs="Times New Roman"/>
          <w:sz w:val="32"/>
          <w:szCs w:val="32"/>
        </w:rPr>
        <w:t>s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，日本药品器械管理局（</w:t>
      </w:r>
      <w:r w:rsidR="00FB5E9F" w:rsidRPr="00FB5E9F">
        <w:rPr>
          <w:rFonts w:ascii="Times New Roman" w:eastAsia="仿宋_GB2312" w:hAnsi="Times New Roman" w:cs="Times New Roman"/>
          <w:sz w:val="32"/>
          <w:szCs w:val="32"/>
        </w:rPr>
        <w:t>Pharmaceuticals and Medical Devices Agency</w:t>
      </w:r>
      <w:r w:rsidR="00FB5E9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PMDA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）称</w:t>
      </w:r>
      <w:r w:rsidR="00C16AF7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再生医学产品（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Regenerative </w:t>
      </w:r>
      <w:r w:rsidR="00633458">
        <w:rPr>
          <w:rFonts w:ascii="Times New Roman" w:eastAsia="仿宋_GB2312" w:hAnsi="Times New Roman" w:cs="Times New Roman"/>
          <w:sz w:val="32"/>
          <w:szCs w:val="32"/>
        </w:rPr>
        <w:t>m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 xml:space="preserve">edicinal </w:t>
      </w:r>
      <w:r w:rsidR="00633458">
        <w:rPr>
          <w:rFonts w:ascii="Times New Roman" w:eastAsia="仿宋_GB2312" w:hAnsi="Times New Roman" w:cs="Times New Roman"/>
          <w:sz w:val="32"/>
          <w:szCs w:val="32"/>
        </w:rPr>
        <w:t>p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roduct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RMP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”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，我国该类</w:t>
      </w:r>
      <w:r w:rsidR="003B3801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的</w:t>
      </w:r>
      <w:proofErr w:type="gramStart"/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英文名</w:t>
      </w:r>
      <w:r w:rsidR="00B75E43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采用</w:t>
      </w:r>
      <w:proofErr w:type="gramEnd"/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ATMPs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助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于</w:t>
      </w:r>
      <w:r w:rsidR="003B3801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国际</w:t>
      </w:r>
      <w:r w:rsidR="003B3801">
        <w:rPr>
          <w:rFonts w:ascii="Times New Roman" w:eastAsia="仿宋_GB2312" w:hAnsi="Times New Roman" w:cs="Times New Roman" w:hint="eastAsia"/>
          <w:sz w:val="32"/>
          <w:szCs w:val="32"/>
        </w:rPr>
        <w:t>接轨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。同时，结合我国药品监管路径及框架，</w:t>
      </w:r>
      <w:r w:rsidR="00B75E4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充分体现该类产品的创新属性</w:t>
      </w:r>
      <w:r w:rsidR="003B380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B3801">
        <w:rPr>
          <w:rFonts w:ascii="Times New Roman" w:eastAsia="仿宋_GB2312" w:hAnsi="Times New Roman" w:cs="Times New Roman"/>
          <w:sz w:val="32"/>
          <w:szCs w:val="32"/>
        </w:rPr>
        <w:t>药品属性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，兼顾行业用语习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lastRenderedPageBreak/>
        <w:t>惯，中文名</w:t>
      </w:r>
      <w:r w:rsidR="00B75E43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采用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“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先进治疗药品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”</w:t>
      </w:r>
      <w:r w:rsidR="00D50787" w:rsidRPr="0010618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97E73A1" w14:textId="12117C5C" w:rsidR="004D6076" w:rsidRPr="00106184" w:rsidRDefault="00D50787" w:rsidP="00920CB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sz w:val="32"/>
          <w:szCs w:val="32"/>
        </w:rPr>
        <w:t>为清晰界定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ATMP</w:t>
      </w:r>
      <w:r w:rsidRPr="00106184">
        <w:rPr>
          <w:rFonts w:ascii="Times New Roman" w:eastAsia="仿宋_GB2312" w:hAnsi="Times New Roman" w:cs="Times New Roman"/>
          <w:sz w:val="32"/>
          <w:szCs w:val="32"/>
        </w:rPr>
        <w:t>的范围，同时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体现一定的前瞻性及包容性，在释义部分，强调</w:t>
      </w:r>
      <w:r w:rsidR="00C16AF7">
        <w:rPr>
          <w:rFonts w:ascii="Times New Roman" w:eastAsia="仿宋_GB2312" w:hAnsi="Times New Roman" w:cs="Times New Roman" w:hint="eastAsia"/>
          <w:sz w:val="32"/>
          <w:szCs w:val="32"/>
        </w:rPr>
        <w:t>其</w:t>
      </w:r>
      <w:r w:rsidR="000606B0" w:rsidRPr="00106184">
        <w:rPr>
          <w:rFonts w:ascii="Times New Roman" w:eastAsia="仿宋_GB2312" w:hAnsi="Times New Roman" w:cs="Times New Roman"/>
          <w:sz w:val="32"/>
          <w:szCs w:val="32"/>
        </w:rPr>
        <w:t>应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符合药品的属性，对部分明确归属于</w:t>
      </w:r>
      <w:proofErr w:type="gramStart"/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卫健委管理</w:t>
      </w:r>
      <w:proofErr w:type="gramEnd"/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的医疗技术进行排除</w:t>
      </w:r>
      <w:r w:rsidR="00C16AF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35095">
        <w:rPr>
          <w:rFonts w:ascii="Times New Roman" w:eastAsia="仿宋_GB2312" w:hAnsi="Times New Roman" w:cs="Times New Roman" w:hint="eastAsia"/>
          <w:sz w:val="32"/>
          <w:szCs w:val="32"/>
        </w:rPr>
        <w:t>此外</w:t>
      </w:r>
      <w:r w:rsidR="00D35095">
        <w:rPr>
          <w:rFonts w:ascii="Times New Roman" w:eastAsia="仿宋_GB2312" w:hAnsi="Times New Roman" w:cs="Times New Roman"/>
          <w:sz w:val="32"/>
          <w:szCs w:val="32"/>
        </w:rPr>
        <w:t>，</w:t>
      </w:r>
      <w:r w:rsidR="00225F8F">
        <w:rPr>
          <w:rFonts w:ascii="Times New Roman" w:eastAsia="仿宋_GB2312" w:hAnsi="Times New Roman" w:cs="Times New Roman" w:hint="eastAsia"/>
          <w:sz w:val="32"/>
          <w:szCs w:val="32"/>
        </w:rPr>
        <w:t>基于国际共识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明确排除预防用疫苗。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同时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，为避免</w:t>
      </w:r>
      <w:r w:rsidR="003B3801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="003B3801">
        <w:rPr>
          <w:rFonts w:ascii="Times New Roman" w:eastAsia="仿宋_GB2312" w:hAnsi="Times New Roman" w:cs="Times New Roman"/>
          <w:sz w:val="32"/>
          <w:szCs w:val="32"/>
        </w:rPr>
        <w:t>TMP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的范围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过于宽泛、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外延不清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晰</w:t>
      </w:r>
      <w:r w:rsidR="004E0BB2" w:rsidRPr="00106184">
        <w:rPr>
          <w:rFonts w:ascii="Times New Roman" w:eastAsia="仿宋_GB2312" w:hAnsi="Times New Roman" w:cs="Times New Roman"/>
          <w:sz w:val="32"/>
          <w:szCs w:val="32"/>
        </w:rPr>
        <w:t>，明确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限定为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“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基于微生物、细胞、基因或组织工程等创新技术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/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方法生产的药品</w:t>
      </w:r>
      <w:r w:rsidR="00B61816" w:rsidRPr="00106184">
        <w:rPr>
          <w:rFonts w:ascii="Times New Roman" w:eastAsia="仿宋_GB2312" w:hAnsi="Times New Roman" w:cs="Times New Roman"/>
          <w:sz w:val="32"/>
          <w:szCs w:val="32"/>
        </w:rPr>
        <w:t>”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；</w:t>
      </w:r>
      <w:r w:rsidR="00492EE0" w:rsidRPr="00106184">
        <w:rPr>
          <w:rFonts w:ascii="Times New Roman" w:eastAsia="仿宋_GB2312" w:hAnsi="Times New Roman" w:cs="Times New Roman"/>
          <w:sz w:val="32"/>
          <w:szCs w:val="32"/>
        </w:rPr>
        <w:t>对于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采用合成生物学技术等研制的产品，如符合上述限定技术特点</w:t>
      </w:r>
      <w:r w:rsidR="00A2653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类别</w:t>
      </w:r>
      <w:r w:rsidR="00A26535">
        <w:rPr>
          <w:rFonts w:ascii="Times New Roman" w:eastAsia="仿宋_GB2312" w:hAnsi="Times New Roman" w:cs="Times New Roman"/>
          <w:sz w:val="32"/>
          <w:szCs w:val="32"/>
        </w:rPr>
        <w:t>释义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，也可</w:t>
      </w:r>
      <w:r w:rsidR="000606B0" w:rsidRPr="00106184">
        <w:rPr>
          <w:rFonts w:ascii="Times New Roman" w:eastAsia="仿宋_GB2312" w:hAnsi="Times New Roman" w:cs="Times New Roman"/>
          <w:sz w:val="32"/>
          <w:szCs w:val="32"/>
        </w:rPr>
        <w:t>以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纳入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ATMP</w:t>
      </w:r>
      <w:r w:rsidR="006532EF" w:rsidRPr="00106184">
        <w:rPr>
          <w:rFonts w:ascii="Times New Roman" w:eastAsia="仿宋_GB2312" w:hAnsi="Times New Roman" w:cs="Times New Roman"/>
          <w:sz w:val="32"/>
          <w:szCs w:val="32"/>
        </w:rPr>
        <w:t>范畴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；对于</w:t>
      </w:r>
      <w:r w:rsidR="009C7E9B">
        <w:rPr>
          <w:rFonts w:ascii="Times New Roman" w:eastAsia="仿宋_GB2312" w:hAnsi="Times New Roman" w:cs="Times New Roman"/>
          <w:sz w:val="32"/>
          <w:szCs w:val="32"/>
        </w:rPr>
        <w:t>常规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肠道</w:t>
      </w:r>
      <w:r w:rsidR="009C7E9B">
        <w:rPr>
          <w:rFonts w:ascii="Times New Roman" w:eastAsia="仿宋_GB2312" w:hAnsi="Times New Roman" w:cs="Times New Roman"/>
          <w:sz w:val="32"/>
          <w:szCs w:val="32"/>
        </w:rPr>
        <w:t>菌群（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9C7E9B">
        <w:rPr>
          <w:rFonts w:ascii="Times New Roman" w:eastAsia="仿宋_GB2312" w:hAnsi="Times New Roman" w:cs="Times New Roman"/>
          <w:sz w:val="32"/>
          <w:szCs w:val="32"/>
        </w:rPr>
        <w:t>微生态制剂等）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 w:rsidR="009C7E9B">
        <w:rPr>
          <w:rFonts w:ascii="Times New Roman" w:eastAsia="仿宋_GB2312" w:hAnsi="Times New Roman" w:cs="Times New Roman"/>
          <w:sz w:val="32"/>
          <w:szCs w:val="32"/>
        </w:rPr>
        <w:t>，不建议纳入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ATMP</w:t>
      </w:r>
      <w:r w:rsidR="009C7E9B">
        <w:rPr>
          <w:rFonts w:ascii="Times New Roman" w:eastAsia="仿宋_GB2312" w:hAnsi="Times New Roman" w:cs="Times New Roman" w:hint="eastAsia"/>
          <w:sz w:val="32"/>
          <w:szCs w:val="32"/>
        </w:rPr>
        <w:t>范畴</w:t>
      </w:r>
      <w:r w:rsidR="009C7E9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3E9CE4D" w14:textId="113C3ACD" w:rsidR="00B61816" w:rsidRPr="00106184" w:rsidRDefault="00C83B0A" w:rsidP="00B61816">
      <w:pPr>
        <w:autoSpaceDE w:val="0"/>
        <w:autoSpaceDN w:val="0"/>
        <w:adjustRightInd w:val="0"/>
        <w:spacing w:line="59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sz w:val="32"/>
          <w:szCs w:val="32"/>
        </w:rPr>
        <w:t>此外，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需要说明的是，对于采用</w:t>
      </w:r>
      <w:r w:rsidR="001216B4" w:rsidRPr="00FE4215">
        <w:rPr>
          <w:rFonts w:ascii="Times New Roman" w:eastAsia="仿宋_GB2312" w:hAnsi="Times New Roman" w:cs="Times New Roman" w:hint="eastAsia"/>
          <w:sz w:val="32"/>
          <w:szCs w:val="32"/>
        </w:rPr>
        <w:t>异种来源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的细胞、组织或器官等作为起始原材料或活性成分，</w:t>
      </w:r>
      <w:proofErr w:type="gramStart"/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经复杂</w:t>
      </w:r>
      <w:proofErr w:type="gramEnd"/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体外操作（如基因编辑等），</w:t>
      </w:r>
      <w:r w:rsidR="00A26535"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主要通过</w:t>
      </w:r>
      <w:r w:rsidR="00291864" w:rsidRPr="00106184">
        <w:rPr>
          <w:rFonts w:ascii="Times New Roman" w:eastAsia="仿宋_GB2312" w:hAnsi="Times New Roman" w:cs="Times New Roman"/>
          <w:sz w:val="32"/>
          <w:szCs w:val="32"/>
        </w:rPr>
        <w:t>细胞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生物活性、免疫</w:t>
      </w:r>
      <w:r w:rsidR="004221EE" w:rsidRPr="003A65F2">
        <w:rPr>
          <w:rFonts w:ascii="Times New Roman" w:eastAsia="仿宋_GB2312" w:hAnsi="Times New Roman" w:cs="Times New Roman" w:hint="eastAsia"/>
          <w:sz w:val="32"/>
          <w:szCs w:val="32"/>
        </w:rPr>
        <w:t>特性</w:t>
      </w:r>
      <w:r w:rsidR="001216B4" w:rsidRPr="003A65F2">
        <w:rPr>
          <w:rFonts w:ascii="Times New Roman" w:eastAsia="仿宋_GB2312" w:hAnsi="Times New Roman" w:cs="Times New Roman"/>
          <w:sz w:val="32"/>
          <w:szCs w:val="32"/>
        </w:rPr>
        <w:t>或代谢</w:t>
      </w:r>
      <w:r w:rsidR="001048D9" w:rsidRPr="003A65F2">
        <w:rPr>
          <w:rFonts w:ascii="Times New Roman" w:eastAsia="仿宋_GB2312" w:hAnsi="Times New Roman" w:cs="Times New Roman" w:hint="eastAsia"/>
          <w:sz w:val="32"/>
          <w:szCs w:val="32"/>
        </w:rPr>
        <w:t>状态</w:t>
      </w:r>
      <w:r w:rsidR="001216B4" w:rsidRPr="003A65F2">
        <w:rPr>
          <w:rFonts w:ascii="Times New Roman" w:eastAsia="仿宋_GB2312" w:hAnsi="Times New Roman" w:cs="Times New Roman"/>
          <w:sz w:val="32"/>
          <w:szCs w:val="32"/>
        </w:rPr>
        <w:t>，或组织再生、修复、功能替代或置换人体组织，实现预期功能的</w:t>
      </w:r>
      <w:r w:rsidR="00036C6F" w:rsidRPr="003A65F2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="001216B4" w:rsidRPr="003A65F2">
        <w:rPr>
          <w:rFonts w:ascii="Times New Roman" w:eastAsia="仿宋_GB2312" w:hAnsi="Times New Roman" w:cs="Times New Roman"/>
          <w:sz w:val="32"/>
          <w:szCs w:val="32"/>
        </w:rPr>
        <w:t>，属于</w:t>
      </w:r>
      <w:r w:rsidR="001216B4" w:rsidRPr="003A65F2">
        <w:rPr>
          <w:rFonts w:ascii="Times New Roman" w:eastAsia="仿宋_GB2312" w:hAnsi="Times New Roman" w:cs="Times New Roman"/>
          <w:sz w:val="32"/>
          <w:szCs w:val="32"/>
        </w:rPr>
        <w:t>ATMP</w:t>
      </w:r>
      <w:r w:rsidR="001216B4" w:rsidRPr="003A65F2">
        <w:rPr>
          <w:rFonts w:ascii="Times New Roman" w:eastAsia="仿宋_GB2312" w:hAnsi="Times New Roman" w:cs="Times New Roman"/>
          <w:sz w:val="32"/>
          <w:szCs w:val="32"/>
        </w:rPr>
        <w:t>的范畴。</w:t>
      </w:r>
      <w:r w:rsidR="00275272" w:rsidRPr="003A65F2">
        <w:rPr>
          <w:rFonts w:ascii="Times New Roman" w:eastAsia="仿宋_GB2312" w:hAnsi="Times New Roman" w:cs="Times New Roman"/>
          <w:sz w:val="32"/>
          <w:szCs w:val="32"/>
        </w:rPr>
        <w:t>考虑</w:t>
      </w:r>
      <w:r w:rsidR="00492EE0" w:rsidRPr="003A65F2">
        <w:rPr>
          <w:rFonts w:ascii="Times New Roman" w:eastAsia="仿宋_GB2312" w:hAnsi="Times New Roman" w:cs="Times New Roman"/>
          <w:sz w:val="32"/>
          <w:szCs w:val="32"/>
        </w:rPr>
        <w:t>到</w:t>
      </w:r>
      <w:r w:rsidR="009E42E3" w:rsidRPr="003A65F2">
        <w:rPr>
          <w:rFonts w:ascii="Times New Roman" w:eastAsia="仿宋_GB2312" w:hAnsi="Times New Roman" w:cs="Times New Roman"/>
          <w:sz w:val="32"/>
          <w:szCs w:val="32"/>
        </w:rPr>
        <w:t>目前</w:t>
      </w:r>
      <w:r w:rsidR="00492EE0" w:rsidRPr="00106184">
        <w:rPr>
          <w:rFonts w:ascii="Times New Roman" w:eastAsia="仿宋_GB2312" w:hAnsi="Times New Roman" w:cs="Times New Roman"/>
          <w:sz w:val="32"/>
          <w:szCs w:val="32"/>
        </w:rPr>
        <w:t>尚未出现此类产品申报，且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涉及动物检疫和公共卫生方面人畜共患病的防控、伦理方面问题以及联合监管</w:t>
      </w:r>
      <w:r w:rsidR="00492EE0" w:rsidRPr="00106184">
        <w:rPr>
          <w:rFonts w:ascii="Times New Roman" w:eastAsia="仿宋_GB2312" w:hAnsi="Times New Roman" w:cs="Times New Roman"/>
          <w:sz w:val="32"/>
          <w:szCs w:val="32"/>
        </w:rPr>
        <w:t>，暂未纳入</w:t>
      </w:r>
      <w:r w:rsidR="005678C1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492EE0" w:rsidRPr="00106184">
        <w:rPr>
          <w:rFonts w:ascii="Times New Roman" w:eastAsia="仿宋_GB2312" w:hAnsi="Times New Roman" w:cs="Times New Roman"/>
          <w:sz w:val="32"/>
          <w:szCs w:val="32"/>
        </w:rPr>
        <w:t>文件讨论</w:t>
      </w:r>
      <w:r w:rsidR="001216B4" w:rsidRPr="00106184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58CC3F0" w14:textId="08B09C49" w:rsidR="00587891" w:rsidRPr="00505CE1" w:rsidRDefault="004D6076" w:rsidP="00505CE1">
      <w:pPr>
        <w:pStyle w:val="af5"/>
        <w:ind w:firstLine="643"/>
      </w:pPr>
      <w:r w:rsidRPr="00505CE1">
        <w:t xml:space="preserve">2. </w:t>
      </w:r>
      <w:r w:rsidRPr="00505CE1">
        <w:t>关于先进治疗药品的</w:t>
      </w:r>
      <w:r w:rsidR="00B37A53" w:rsidRPr="00505CE1">
        <w:t>归类</w:t>
      </w:r>
    </w:p>
    <w:p w14:paraId="37092D84" w14:textId="5878D973" w:rsidR="00505FF5" w:rsidRPr="00106184" w:rsidRDefault="00683092" w:rsidP="0016595A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本文件参考国际分类规范，同时结合我国产业发展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及监管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实际</w:t>
      </w:r>
      <w:r w:rsidR="001659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进行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="009E42E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类别划分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1659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具体</w:t>
      </w:r>
      <w:r w:rsidR="0016595A">
        <w:rPr>
          <w:rFonts w:ascii="Times New Roman" w:eastAsia="仿宋_GB2312" w:hAnsi="Times New Roman" w:cs="Times New Roman"/>
          <w:kern w:val="0"/>
          <w:sz w:val="32"/>
          <w:szCs w:val="32"/>
        </w:rPr>
        <w:t>归类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与国际主要药品监管机构分类框架尚存在一些差异</w:t>
      </w:r>
      <w:r w:rsidR="009E42E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。但相对国际分类规范，体现了更多的前瞻性和包容性，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同时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为新技术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新产品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新模式预留了接口或空间，</w:t>
      </w:r>
      <w:r w:rsidR="00A0768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未来可根据技术发展及</w:t>
      </w:r>
      <w:r w:rsidR="009E42E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产品研发推进</w:t>
      </w:r>
      <w:r w:rsidR="00A0768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9E42E3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与时俱进，适时更新。</w:t>
      </w:r>
      <w:r w:rsidR="00A0768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例如对于</w:t>
      </w:r>
      <w:r w:rsidR="00764C8E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“其他”</w:t>
      </w:r>
      <w:r w:rsidR="00A0768B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类药品的划分</w:t>
      </w:r>
      <w:r w:rsidR="00A0768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，考虑到我国现阶段</w:t>
      </w:r>
      <w:r w:rsidR="00A0768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="004F39E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以细胞和基因治疗药品为主，尚未有其他类型</w:t>
      </w:r>
      <w:r w:rsidR="001061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="00106184">
        <w:rPr>
          <w:rFonts w:ascii="Times New Roman" w:eastAsia="仿宋_GB2312" w:hAnsi="Times New Roman" w:cs="Times New Roman"/>
          <w:kern w:val="0"/>
          <w:sz w:val="32"/>
          <w:szCs w:val="32"/>
        </w:rPr>
        <w:t>TMP</w:t>
      </w:r>
      <w:r w:rsidR="00036C6F" w:rsidRPr="003A65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获批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上市，</w:t>
      </w:r>
      <w:r w:rsidR="00106184" w:rsidRPr="003A65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因此</w:t>
      </w:r>
      <w:r w:rsidR="00106184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A76B4D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未</w:t>
      </w:r>
      <w:r w:rsidR="0016595A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参</w:t>
      </w:r>
      <w:r w:rsidR="001659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照</w:t>
      </w:r>
      <w:r w:rsidR="00A76B4D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FDA</w:t>
      </w:r>
      <w:r w:rsidR="00A76B4D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EMA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等监管分类对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组织工程药品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6B3461" w:rsidRPr="003A65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 w:rsidR="004F39E2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单独划分类别，而是统一归属于</w:t>
      </w:r>
      <w:r w:rsidR="001D6A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1D6ADB" w:rsidRPr="003A65F2">
        <w:rPr>
          <w:rFonts w:ascii="Times New Roman" w:eastAsia="仿宋_GB2312" w:hAnsi="Times New Roman" w:cs="Times New Roman"/>
          <w:kern w:val="0"/>
          <w:sz w:val="32"/>
          <w:szCs w:val="32"/>
        </w:rPr>
        <w:t>其他类</w:t>
      </w:r>
      <w:r w:rsidR="001D6AD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106184" w:rsidRPr="003A65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083389" w:rsidRPr="00E526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作为</w:t>
      </w:r>
      <w:r w:rsidR="00106184" w:rsidRPr="00E5268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106184" w:rsidRPr="00E526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具有</w:t>
      </w:r>
      <w:r w:rsidR="00106184" w:rsidRPr="00E52683">
        <w:rPr>
          <w:rFonts w:ascii="Times New Roman" w:eastAsia="仿宋_GB2312" w:hAnsi="Times New Roman" w:cs="Times New Roman"/>
          <w:kern w:val="0"/>
          <w:sz w:val="32"/>
          <w:szCs w:val="32"/>
        </w:rPr>
        <w:t>药品属性的组织</w:t>
      </w:r>
      <w:r w:rsidR="003B3801" w:rsidRPr="00E526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工程</w:t>
      </w:r>
      <w:r w:rsidR="00106184" w:rsidRPr="00E526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药品</w:t>
      </w:r>
      <w:r w:rsidR="00106184" w:rsidRPr="00E5268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106184" w:rsidRPr="00E5268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亚类</w:t>
      </w:r>
      <w:r w:rsidR="004F39E2" w:rsidRPr="00E52683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4F39E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未来</w:t>
      </w:r>
      <w:r w:rsidR="003B380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结合</w:t>
      </w:r>
      <w:r w:rsidR="004F39E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研发推进及申报情况，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可考虑</w:t>
      </w:r>
      <w:r w:rsidR="004F39E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进一步</w:t>
      </w:r>
      <w:r w:rsidR="009751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调整</w:t>
      </w:r>
      <w:r w:rsidR="004F39E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其类别归属。</w:t>
      </w:r>
    </w:p>
    <w:p w14:paraId="26255583" w14:textId="32080931" w:rsidR="00A0768B" w:rsidRPr="00106184" w:rsidRDefault="00A26535" w:rsidP="00587891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="009751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文件中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3B060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细胞治疗药品和基因治疗药品的归类，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也</w:t>
      </w:r>
      <w:r w:rsidR="003B060D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存在与国际分类不同之处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。例如</w:t>
      </w:r>
      <w:r w:rsidR="009751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拟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将</w:t>
      </w:r>
      <w:r w:rsidR="006C30BA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嵌合抗原受体</w:t>
      </w:r>
      <w:r w:rsidR="006C30BA" w:rsidRPr="00FE4215">
        <w:rPr>
          <w:rFonts w:ascii="Times New Roman" w:eastAsia="仿宋_GB2312" w:hAnsi="Times New Roman" w:cs="Times New Roman"/>
          <w:kern w:val="0"/>
          <w:sz w:val="32"/>
          <w:szCs w:val="32"/>
        </w:rPr>
        <w:t>T</w:t>
      </w:r>
      <w:r w:rsidR="006C30BA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细胞（</w:t>
      </w:r>
      <w:r w:rsidRPr="00A26535">
        <w:rPr>
          <w:rFonts w:ascii="Times New Roman" w:eastAsia="仿宋_GB2312" w:hAnsi="Times New Roman" w:cs="Times New Roman"/>
          <w:kern w:val="0"/>
          <w:sz w:val="32"/>
          <w:szCs w:val="32"/>
        </w:rPr>
        <w:t>Chimeric antigen receptor T cell</w:t>
      </w:r>
      <w:r w:rsidRPr="00A2653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6C30BA" w:rsidRPr="00FE4215">
        <w:rPr>
          <w:rFonts w:ascii="Times New Roman" w:eastAsia="仿宋_GB2312" w:hAnsi="Times New Roman" w:cs="Times New Roman"/>
          <w:kern w:val="0"/>
          <w:sz w:val="32"/>
          <w:szCs w:val="32"/>
        </w:rPr>
        <w:t>CAR-T</w:t>
      </w:r>
      <w:r w:rsidR="006C30BA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7B7B07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药品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归类</w:t>
      </w:r>
      <w:r w:rsidR="009751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于“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体外基因修饰细胞药品</w:t>
      </w:r>
      <w:r w:rsidR="009751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，不同于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EMA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监管机构的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分类（</w:t>
      </w:r>
      <w:r w:rsidR="001C3DE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考虑其风险级别，将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其归属至基因治疗药品）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1C3DE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该类药品的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物质基础及特征与细胞</w:t>
      </w:r>
      <w:r w:rsidR="003C57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治疗药品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类似，</w:t>
      </w:r>
      <w:r w:rsidR="006C30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且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最终起作用的药物形式为细胞，</w:t>
      </w:r>
      <w:r w:rsidR="009C1C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因此</w:t>
      </w:r>
      <w:r w:rsidR="009C1C4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="00800DD9">
        <w:rPr>
          <w:rFonts w:ascii="Times New Roman" w:eastAsia="仿宋_GB2312" w:hAnsi="Times New Roman" w:cs="Times New Roman"/>
          <w:kern w:val="0"/>
          <w:sz w:val="32"/>
          <w:szCs w:val="32"/>
        </w:rPr>
        <w:t>文件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AR-T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类产品的归类</w:t>
      </w:r>
      <w:r w:rsidR="001C3DE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基本</w:t>
      </w:r>
      <w:r w:rsidR="007B7B07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符合以物质基础及活性成分为主的划分原则。</w:t>
      </w:r>
      <w:r w:rsidR="006C30BA">
        <w:rPr>
          <w:rFonts w:ascii="Times New Roman" w:eastAsia="仿宋_GB2312" w:hAnsi="Times New Roman" w:cs="Times New Roman"/>
          <w:kern w:val="0"/>
          <w:sz w:val="32"/>
          <w:szCs w:val="32"/>
        </w:rPr>
        <w:t>此外，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考虑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到基因编辑是当今世界科技发展的前沿</w:t>
      </w:r>
      <w:r w:rsidR="003C57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领域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4A2A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内</w:t>
      </w:r>
      <w:r w:rsidR="004A2A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外</w:t>
      </w:r>
      <w:r w:rsidR="004A2AA0">
        <w:rPr>
          <w:rFonts w:ascii="Times New Roman" w:eastAsia="仿宋_GB2312" w:hAnsi="Times New Roman" w:cs="Times New Roman"/>
          <w:kern w:val="0"/>
          <w:sz w:val="32"/>
          <w:szCs w:val="32"/>
        </w:rPr>
        <w:t>监管机构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发布或</w:t>
      </w:r>
      <w:r w:rsidR="004A2AA0">
        <w:rPr>
          <w:rFonts w:ascii="Times New Roman" w:eastAsia="仿宋_GB2312" w:hAnsi="Times New Roman" w:cs="Times New Roman"/>
          <w:kern w:val="0"/>
          <w:sz w:val="32"/>
          <w:szCs w:val="32"/>
        </w:rPr>
        <w:t>正在</w:t>
      </w:r>
      <w:r w:rsidR="00FE174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制定</w:t>
      </w:r>
      <w:r w:rsidR="004A2AA0" w:rsidRPr="00FE42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基因编辑类药品</w:t>
      </w:r>
      <w:r w:rsidR="004A2AA0">
        <w:rPr>
          <w:rFonts w:ascii="Times New Roman" w:eastAsia="仿宋_GB2312" w:hAnsi="Times New Roman" w:cs="Times New Roman"/>
          <w:kern w:val="0"/>
          <w:sz w:val="32"/>
          <w:szCs w:val="32"/>
        </w:rPr>
        <w:t>相关的</w:t>
      </w:r>
      <w:r w:rsidR="004A2AA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技术</w:t>
      </w:r>
      <w:r w:rsidR="004A2AA0">
        <w:rPr>
          <w:rFonts w:ascii="Times New Roman" w:eastAsia="仿宋_GB2312" w:hAnsi="Times New Roman" w:cs="Times New Roman"/>
          <w:kern w:val="0"/>
          <w:sz w:val="32"/>
          <w:szCs w:val="32"/>
        </w:rPr>
        <w:t>指南，</w:t>
      </w:r>
      <w:r w:rsidR="006C30BA">
        <w:rPr>
          <w:rFonts w:ascii="Times New Roman" w:eastAsia="仿宋_GB2312" w:hAnsi="Times New Roman" w:cs="Times New Roman"/>
          <w:kern w:val="0"/>
          <w:sz w:val="32"/>
          <w:szCs w:val="32"/>
        </w:rPr>
        <w:t>基于当前技术发展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态势及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鼓励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研发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的考虑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文件在基因治疗药品</w:t>
      </w:r>
      <w:r w:rsidR="00FE174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中单独划分</w:t>
      </w:r>
      <w:r w:rsidR="00FE174E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4F744B" w:rsidRPr="004A2AA0">
        <w:rPr>
          <w:rFonts w:ascii="Times New Roman" w:eastAsia="仿宋_GB2312" w:hAnsi="Times New Roman" w:cs="Times New Roman"/>
          <w:kern w:val="0"/>
          <w:sz w:val="32"/>
          <w:szCs w:val="32"/>
        </w:rPr>
        <w:t>基因编辑类药品</w:t>
      </w:r>
      <w:r w:rsidR="00FE174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”亚类</w:t>
      </w:r>
      <w:r w:rsidR="003C57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该</w:t>
      </w:r>
      <w:r w:rsidR="00FE174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亚类</w:t>
      </w:r>
      <w:r w:rsidR="00FE174E">
        <w:rPr>
          <w:rFonts w:ascii="Times New Roman" w:eastAsia="仿宋_GB2312" w:hAnsi="Times New Roman" w:cs="Times New Roman"/>
          <w:kern w:val="0"/>
          <w:sz w:val="32"/>
          <w:szCs w:val="32"/>
        </w:rPr>
        <w:t>划分主要基于工艺或技术特点</w:t>
      </w:r>
      <w:r w:rsidR="003124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考虑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结合活性</w:t>
      </w:r>
      <w:r w:rsidR="001A0E1F">
        <w:rPr>
          <w:rFonts w:ascii="Times New Roman" w:eastAsia="仿宋_GB2312" w:hAnsi="Times New Roman" w:cs="Times New Roman"/>
          <w:kern w:val="0"/>
          <w:sz w:val="32"/>
          <w:szCs w:val="32"/>
        </w:rPr>
        <w:t>成分</w:t>
      </w:r>
      <w:r w:rsidR="001A0E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要素分析</w:t>
      </w:r>
      <w:r w:rsidR="003C57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可能与基因治疗药品中其他亚类（例如核酸类药品、病毒载体类药品</w:t>
      </w:r>
      <w:r w:rsidR="007752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）存在交叉，考虑到其</w:t>
      </w:r>
      <w:r w:rsidR="0077520A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风险级别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 w:rsidR="007752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审评</w:t>
      </w:r>
      <w:r w:rsidR="0077520A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技术要求</w:t>
      </w:r>
      <w:r w:rsidR="002458F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不同，建议优先归类于</w:t>
      </w:r>
      <w:r w:rsidR="004F744B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基因编辑类药品。</w:t>
      </w:r>
    </w:p>
    <w:p w14:paraId="3250A225" w14:textId="54F64AF8" w:rsidR="003124FC" w:rsidRPr="00505CE1" w:rsidRDefault="003124FC" w:rsidP="00505CE1">
      <w:pPr>
        <w:pStyle w:val="af5"/>
        <w:ind w:firstLine="643"/>
      </w:pPr>
      <w:r w:rsidRPr="00505CE1">
        <w:rPr>
          <w:rFonts w:hint="eastAsia"/>
        </w:rPr>
        <w:t xml:space="preserve">3. </w:t>
      </w:r>
      <w:r w:rsidRPr="00505CE1">
        <w:rPr>
          <w:rFonts w:hint="eastAsia"/>
        </w:rPr>
        <w:t>关于</w:t>
      </w:r>
      <w:r w:rsidR="00E16E3D" w:rsidRPr="00505CE1">
        <w:rPr>
          <w:rFonts w:hint="eastAsia"/>
        </w:rPr>
        <w:t>“</w:t>
      </w:r>
      <w:r w:rsidR="00E16E3D" w:rsidRPr="00505CE1">
        <w:t>预防用疫苗</w:t>
      </w:r>
      <w:r w:rsidR="00E16E3D" w:rsidRPr="00505CE1">
        <w:rPr>
          <w:rFonts w:hint="eastAsia"/>
        </w:rPr>
        <w:t>”</w:t>
      </w:r>
      <w:r w:rsidRPr="00505CE1">
        <w:t>及</w:t>
      </w:r>
      <w:r w:rsidR="00E16E3D" w:rsidRPr="00505CE1">
        <w:rPr>
          <w:rFonts w:hint="eastAsia"/>
        </w:rPr>
        <w:t>“</w:t>
      </w:r>
      <w:r w:rsidR="00E16E3D" w:rsidRPr="00505CE1">
        <w:t>治疗性疫苗</w:t>
      </w:r>
      <w:r w:rsidR="00E16E3D" w:rsidRPr="00505CE1">
        <w:rPr>
          <w:rFonts w:hint="eastAsia"/>
        </w:rPr>
        <w:t>”</w:t>
      </w:r>
      <w:r w:rsidRPr="00505CE1">
        <w:t>的</w:t>
      </w:r>
      <w:r w:rsidRPr="00505CE1">
        <w:rPr>
          <w:rFonts w:hint="eastAsia"/>
        </w:rPr>
        <w:t>说明</w:t>
      </w:r>
    </w:p>
    <w:p w14:paraId="15D621B0" w14:textId="2EA381A3" w:rsidR="003124FC" w:rsidRPr="00CC200C" w:rsidRDefault="00A52D1A" w:rsidP="00F215A1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参考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WHO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EMA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分类规范</w:t>
      </w:r>
      <w:r w:rsidR="00CC20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以及</w:t>
      </w:r>
      <w:r w:rsidR="00CC200C">
        <w:rPr>
          <w:rFonts w:ascii="Times New Roman" w:eastAsia="仿宋_GB2312" w:hAnsi="Times New Roman" w:cs="Times New Roman"/>
          <w:kern w:val="0"/>
          <w:sz w:val="32"/>
          <w:szCs w:val="32"/>
        </w:rPr>
        <w:t>我国生物制品注册分类</w:t>
      </w:r>
      <w:r w:rsidR="003C575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文件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5678C1">
        <w:rPr>
          <w:rFonts w:ascii="Times New Roman" w:eastAsia="仿宋_GB2312" w:hAnsi="Times New Roman" w:cs="Times New Roman"/>
          <w:kern w:val="0"/>
          <w:sz w:val="32"/>
          <w:szCs w:val="32"/>
        </w:rPr>
        <w:t>四部分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划分原则</w:t>
      </w:r>
      <w:r w:rsidR="00E16E3D">
        <w:rPr>
          <w:rFonts w:ascii="Times New Roman" w:eastAsia="仿宋_GB2312" w:hAnsi="Times New Roman" w:cs="Times New Roman"/>
          <w:kern w:val="0"/>
          <w:sz w:val="32"/>
          <w:szCs w:val="32"/>
        </w:rPr>
        <w:t>部分</w:t>
      </w:r>
      <w:r w:rsidR="007752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25F8F" w:rsidRPr="00225F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proofErr w:type="gramStart"/>
      <w:r w:rsidR="00225F8F" w:rsidRPr="00225F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例举</w:t>
      </w:r>
      <w:proofErr w:type="gramEnd"/>
      <w:r w:rsidR="00225F8F" w:rsidRPr="00225F8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形式</w:t>
      </w:r>
      <w:r w:rsidR="00E16E3D">
        <w:rPr>
          <w:rFonts w:ascii="Times New Roman" w:eastAsia="仿宋_GB2312" w:hAnsi="Times New Roman" w:cs="Times New Roman"/>
          <w:kern w:val="0"/>
          <w:sz w:val="32"/>
          <w:szCs w:val="32"/>
        </w:rPr>
        <w:t>界定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A52D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用于健康人的、抗感染性疾病的预防用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疫苗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不纳入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ATMP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范畴</w:t>
      </w:r>
      <w:r w:rsid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CC20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而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CC200C" w:rsidRPr="00CC20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针对肿瘤和</w:t>
      </w:r>
      <w:r w:rsidR="00CC200C" w:rsidRPr="00CC200C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="00CC200C" w:rsidRPr="00CC200C">
        <w:rPr>
          <w:rFonts w:ascii="Times New Roman" w:eastAsia="仿宋_GB2312" w:hAnsi="Times New Roman" w:cs="Times New Roman"/>
          <w:kern w:val="0"/>
          <w:sz w:val="32"/>
          <w:szCs w:val="32"/>
        </w:rPr>
        <w:t>或其他疾病进展等的治疗性疫苗</w:t>
      </w:r>
      <w:r w:rsidR="00E16E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CC200C" w:rsidRPr="00CC200C">
        <w:rPr>
          <w:rFonts w:ascii="Times New Roman" w:eastAsia="仿宋_GB2312" w:hAnsi="Times New Roman" w:cs="Times New Roman"/>
          <w:kern w:val="0"/>
          <w:sz w:val="32"/>
          <w:szCs w:val="32"/>
        </w:rPr>
        <w:t>属于</w:t>
      </w:r>
      <w:r w:rsidR="00CC200C" w:rsidRPr="00CC200C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="00CC200C" w:rsidRPr="00CC200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2710C2EC" w14:textId="63379E78" w:rsidR="008A3DDF" w:rsidRPr="00505CE1" w:rsidRDefault="003124FC" w:rsidP="00505CE1">
      <w:pPr>
        <w:pStyle w:val="af5"/>
        <w:ind w:firstLine="643"/>
      </w:pPr>
      <w:r w:rsidRPr="00505CE1">
        <w:t>4</w:t>
      </w:r>
      <w:r w:rsidR="008A3DDF" w:rsidRPr="00505CE1">
        <w:t xml:space="preserve">. </w:t>
      </w:r>
      <w:r w:rsidR="00897804" w:rsidRPr="00505CE1">
        <w:t>关于再生医学的说明</w:t>
      </w:r>
    </w:p>
    <w:p w14:paraId="0C16524C" w14:textId="0181FEC7" w:rsidR="00897804" w:rsidRPr="00106184" w:rsidRDefault="00897804" w:rsidP="00F215A1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lightGray"/>
        </w:rPr>
      </w:pP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考虑到国际其他药品监管机构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如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FDA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PMDA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相关监管法规中提出了</w:t>
      </w:r>
      <w:r w:rsid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再生医学</w:t>
      </w:r>
      <w:r w:rsid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的概念，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</w:t>
      </w:r>
      <w:r w:rsidR="0002045D">
        <w:rPr>
          <w:rFonts w:ascii="Times New Roman" w:eastAsia="仿宋_GB2312" w:hAnsi="Times New Roman" w:cs="Times New Roman"/>
          <w:kern w:val="0"/>
          <w:sz w:val="32"/>
          <w:szCs w:val="32"/>
        </w:rPr>
        <w:t>专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门</w:t>
      </w:r>
      <w:r w:rsidR="0002045D">
        <w:rPr>
          <w:rFonts w:ascii="Times New Roman" w:eastAsia="仿宋_GB2312" w:hAnsi="Times New Roman" w:cs="Times New Roman"/>
          <w:kern w:val="0"/>
          <w:sz w:val="32"/>
          <w:szCs w:val="32"/>
        </w:rPr>
        <w:t>设置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了</w:t>
      </w:r>
      <w:r w:rsidR="0002045D">
        <w:rPr>
          <w:rFonts w:ascii="Times New Roman" w:eastAsia="仿宋_GB2312" w:hAnsi="Times New Roman" w:cs="Times New Roman"/>
          <w:kern w:val="0"/>
          <w:sz w:val="32"/>
          <w:szCs w:val="32"/>
        </w:rPr>
        <w:t>相关</w:t>
      </w:r>
      <w:r w:rsidR="0002045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快速</w:t>
      </w:r>
      <w:r w:rsidR="0002045D">
        <w:rPr>
          <w:rFonts w:ascii="Times New Roman" w:eastAsia="仿宋_GB2312" w:hAnsi="Times New Roman" w:cs="Times New Roman"/>
          <w:kern w:val="0"/>
          <w:sz w:val="32"/>
          <w:szCs w:val="32"/>
        </w:rPr>
        <w:t>通道如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>RMAT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Regenerative </w:t>
      </w:r>
      <w:r w:rsidR="003D31FA"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edicine </w:t>
      </w:r>
      <w:r w:rsidR="003D31FA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dvanced </w:t>
      </w:r>
      <w:r w:rsidR="003D31FA">
        <w:rPr>
          <w:rFonts w:ascii="Times New Roman" w:eastAsia="仿宋_GB2312" w:hAnsi="Times New Roman" w:cs="Times New Roman"/>
          <w:kern w:val="0"/>
          <w:sz w:val="32"/>
          <w:szCs w:val="32"/>
        </w:rPr>
        <w:t>t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>herapy</w:t>
      </w:r>
      <w:r w:rsidR="0002045D" w:rsidRPr="0002045D">
        <w:rPr>
          <w:rFonts w:ascii="Times New Roman" w:eastAsia="仿宋_GB2312" w:hAnsi="Times New Roman" w:cs="Times New Roman"/>
          <w:kern w:val="0"/>
          <w:sz w:val="32"/>
          <w:szCs w:val="32"/>
        </w:rPr>
        <w:t>）认定</w:t>
      </w:r>
      <w:r w:rsid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9C1C4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此外，</w:t>
      </w:r>
      <w:r w:rsidR="005678C1">
        <w:rPr>
          <w:rFonts w:ascii="Times New Roman" w:eastAsia="仿宋_GB2312" w:hAnsi="Times New Roman" w:cs="Times New Roman"/>
          <w:kern w:val="0"/>
          <w:sz w:val="32"/>
          <w:szCs w:val="32"/>
        </w:rPr>
        <w:t>再生医学领域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涵盖的药品类型与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ATMP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有交叉，且其在应对老龄化社会健康需求方面具有广阔的应用前景，在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</w:t>
      </w:r>
      <w:r w:rsidR="008C6085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第五部分，对再生医学的范</w:t>
      </w:r>
      <w:r w:rsidR="00557CCF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畴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及</w:t>
      </w:r>
      <w:r w:rsidR="00117A70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相关药品（例如干细胞类药品）的不同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归类维度作了简要说明，并将结合后续发展适时讨论。</w:t>
      </w:r>
    </w:p>
    <w:p w14:paraId="201D74A9" w14:textId="46BCE1A7" w:rsidR="00897804" w:rsidRPr="00505CE1" w:rsidRDefault="00F215A1" w:rsidP="00505CE1">
      <w:pPr>
        <w:pStyle w:val="af5"/>
        <w:ind w:firstLine="643"/>
      </w:pPr>
      <w:bookmarkStart w:id="3" w:name="_GoBack"/>
      <w:bookmarkEnd w:id="3"/>
      <w:r w:rsidRPr="00505CE1">
        <w:t>5</w:t>
      </w:r>
      <w:r w:rsidR="00897804" w:rsidRPr="00505CE1">
        <w:t xml:space="preserve">. </w:t>
      </w:r>
      <w:r w:rsidR="00897804" w:rsidRPr="00505CE1">
        <w:t>其他说明</w:t>
      </w:r>
    </w:p>
    <w:p w14:paraId="510DF7B5" w14:textId="5DE11669" w:rsidR="008D53C1" w:rsidRPr="00106184" w:rsidRDefault="008D53C1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文件起草过程中，技术发展日新月异，不断有新的产品类型出现，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文件制定立足当下我国</w:t>
      </w:r>
      <w:r w:rsidR="005678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ATMP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产业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发展实际，未来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可根据</w:t>
      </w:r>
      <w:r w:rsidR="00683092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技术发展及</w:t>
      </w:r>
      <w:r w:rsidR="00FE3C94"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产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业</w:t>
      </w:r>
      <w:r w:rsidR="00FE236E">
        <w:rPr>
          <w:rFonts w:ascii="Times New Roman" w:eastAsia="仿宋_GB2312" w:hAnsi="Times New Roman" w:cs="Times New Roman"/>
          <w:kern w:val="0"/>
          <w:sz w:val="32"/>
          <w:szCs w:val="32"/>
        </w:rPr>
        <w:t>成熟度</w:t>
      </w:r>
      <w:r w:rsidRPr="00106184">
        <w:rPr>
          <w:rFonts w:ascii="Times New Roman" w:eastAsia="仿宋_GB2312" w:hAnsi="Times New Roman" w:cs="Times New Roman"/>
          <w:kern w:val="0"/>
          <w:sz w:val="32"/>
          <w:szCs w:val="32"/>
        </w:rPr>
        <w:t>进行动态调整，适时更新。</w:t>
      </w:r>
      <w:r w:rsidR="009042C3" w:rsidRPr="009042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鉴于国际</w:t>
      </w:r>
      <w:r w:rsid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主要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药品</w:t>
      </w:r>
      <w:r w:rsidR="009042C3" w:rsidRPr="009042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监管机构对于此类药品的分类也在不断完善</w:t>
      </w:r>
      <w:r w:rsidR="0077520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9042C3" w:rsidRPr="009042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更新，</w:t>
      </w:r>
      <w:r w:rsidR="009042C3" w:rsidRPr="001509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建议</w:t>
      </w:r>
      <w:r w:rsidR="009042C3" w:rsidRPr="009042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在后续的国际交流中发出中国的声音，提出中国的归类考虑及建议，</w:t>
      </w:r>
      <w:r w:rsidR="00800DD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促进</w:t>
      </w:r>
      <w:r w:rsidR="009042C3" w:rsidRPr="009042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国际协调与监管趋同。</w:t>
      </w:r>
    </w:p>
    <w:p w14:paraId="27A20EEB" w14:textId="1CA5079A" w:rsidR="00234583" w:rsidRPr="00106184" w:rsidRDefault="005678C1" w:rsidP="00E762B6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文件</w:t>
      </w:r>
      <w:proofErr w:type="gramStart"/>
      <w:r w:rsidR="00FE236E" w:rsidRP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由药审中心</w:t>
      </w:r>
      <w:proofErr w:type="gramEnd"/>
      <w:r w:rsidR="00FE236E" w:rsidRP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相关审评和管理部门共同讨论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FE236E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="00FE236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国家</w:t>
      </w:r>
      <w:r w:rsidR="00FE236E">
        <w:rPr>
          <w:rFonts w:ascii="Times New Roman" w:eastAsia="仿宋_GB2312" w:hAnsi="Times New Roman" w:cs="Times New Roman"/>
          <w:kern w:val="0"/>
          <w:sz w:val="32"/>
          <w:szCs w:val="32"/>
        </w:rPr>
        <w:t>局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指导下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制定，</w:t>
      </w:r>
      <w:r w:rsidR="00AA6E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不影响当前</w:t>
      </w:r>
      <w:r w:rsidR="00AA6E75">
        <w:rPr>
          <w:rFonts w:ascii="Times New Roman" w:eastAsia="仿宋_GB2312" w:hAnsi="Times New Roman" w:cs="Times New Roman"/>
          <w:kern w:val="0"/>
          <w:sz w:val="32"/>
          <w:szCs w:val="32"/>
        </w:rPr>
        <w:t>生物制品注册分类</w:t>
      </w:r>
      <w:r w:rsidR="00AA6E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，且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应符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合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不断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更新的药品相关法律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法规要求</w:t>
      </w:r>
      <w:r w:rsidR="00AA6E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文件的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制定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与发布，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有助于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贯彻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落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实习近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平总书记关于药品监管和医药产业发展的重要指示批示精神，有助于</w:t>
      </w:r>
      <w:r w:rsidR="00E76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凸显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全球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先进治疗</w:t>
      </w:r>
      <w:r w:rsidR="00540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领域</w:t>
      </w:r>
      <w:r w:rsidR="00540335"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 w:rsidR="00AA6E7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领先</w:t>
      </w:r>
      <w:r w:rsidR="00E762B6">
        <w:rPr>
          <w:rFonts w:ascii="Times New Roman" w:eastAsia="仿宋_GB2312" w:hAnsi="Times New Roman" w:cs="Times New Roman"/>
          <w:kern w:val="0"/>
          <w:sz w:val="32"/>
          <w:szCs w:val="32"/>
        </w:rPr>
        <w:t>地位，</w:t>
      </w:r>
      <w:r w:rsidR="00E762B6" w:rsidRPr="00E762B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</w:t>
      </w:r>
      <w:r w:rsidR="00E762B6" w:rsidRPr="00E762B6">
        <w:rPr>
          <w:rFonts w:ascii="Times New Roman" w:eastAsia="仿宋_GB2312" w:hAnsi="Times New Roman" w:cs="Times New Roman"/>
          <w:kern w:val="0"/>
          <w:sz w:val="32"/>
          <w:szCs w:val="32"/>
        </w:rPr>
        <w:t>助力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完善不同类别</w:t>
      </w:r>
      <w:r w:rsidR="00AA6E75">
        <w:rPr>
          <w:rFonts w:ascii="Times New Roman" w:eastAsia="仿宋_GB2312" w:hAnsi="Times New Roman" w:cs="Times New Roman" w:hint="eastAsia"/>
          <w:sz w:val="32"/>
          <w:szCs w:val="32"/>
        </w:rPr>
        <w:t>药品监管</w:t>
      </w:r>
      <w:r w:rsidR="00AA6E75">
        <w:rPr>
          <w:rFonts w:ascii="Times New Roman" w:eastAsia="仿宋_GB2312" w:hAnsi="Times New Roman" w:cs="Times New Roman"/>
          <w:sz w:val="32"/>
          <w:szCs w:val="32"/>
        </w:rPr>
        <w:t>科学发展及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技术指南标准</w:t>
      </w:r>
      <w:r w:rsidR="00AA6E75">
        <w:rPr>
          <w:rFonts w:ascii="Times New Roman" w:eastAsia="仿宋_GB2312" w:hAnsi="Times New Roman" w:cs="Times New Roman" w:hint="eastAsia"/>
          <w:sz w:val="32"/>
          <w:szCs w:val="32"/>
        </w:rPr>
        <w:t>体系建设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，也为后续</w:t>
      </w:r>
      <w:r w:rsidR="00E762B6">
        <w:rPr>
          <w:rFonts w:ascii="Times New Roman" w:eastAsia="仿宋_GB2312" w:hAnsi="Times New Roman" w:cs="Times New Roman" w:hint="eastAsia"/>
          <w:sz w:val="32"/>
          <w:szCs w:val="32"/>
        </w:rPr>
        <w:t>探索建立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政策</w:t>
      </w:r>
      <w:r w:rsidR="00E762B6">
        <w:rPr>
          <w:rFonts w:ascii="Times New Roman" w:eastAsia="仿宋_GB2312" w:hAnsi="Times New Roman" w:cs="Times New Roman" w:hint="eastAsia"/>
          <w:sz w:val="32"/>
          <w:szCs w:val="32"/>
        </w:rPr>
        <w:t>鼓励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措施</w:t>
      </w:r>
      <w:r w:rsidR="00AA6E75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CB2F84" w:rsidRPr="0044203E">
        <w:rPr>
          <w:rFonts w:ascii="Times New Roman" w:eastAsia="仿宋_GB2312" w:hAnsi="Times New Roman" w:cs="Times New Roman" w:hint="eastAsia"/>
          <w:sz w:val="32"/>
          <w:szCs w:val="32"/>
        </w:rPr>
        <w:t>优化</w:t>
      </w:r>
      <w:proofErr w:type="gramStart"/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审评审</w:t>
      </w:r>
      <w:r w:rsidR="00E762B6">
        <w:rPr>
          <w:rFonts w:ascii="Times New Roman" w:eastAsia="仿宋_GB2312" w:hAnsi="Times New Roman" w:cs="Times New Roman" w:hint="eastAsia"/>
          <w:sz w:val="32"/>
          <w:szCs w:val="32"/>
        </w:rPr>
        <w:t>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机制</w:t>
      </w:r>
      <w:r w:rsidR="00234583" w:rsidRPr="00E762B6">
        <w:rPr>
          <w:rFonts w:ascii="Times New Roman" w:eastAsia="仿宋_GB2312" w:hAnsi="Times New Roman" w:cs="Times New Roman"/>
          <w:sz w:val="32"/>
          <w:szCs w:val="32"/>
        </w:rPr>
        <w:t>奠定基础</w:t>
      </w:r>
      <w:r w:rsidR="00E762B6" w:rsidRPr="00E762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234583" w:rsidRPr="0010618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D30AF" w16cid:durableId="2B83FF1F"/>
  <w16cid:commentId w16cid:paraId="587B553E" w16cid:durableId="2B8AC103"/>
  <w16cid:commentId w16cid:paraId="3858E580" w16cid:durableId="2B8AD56B"/>
  <w16cid:commentId w16cid:paraId="7426086B" w16cid:durableId="2B8B1A3A"/>
  <w16cid:commentId w16cid:paraId="49AD75C8" w16cid:durableId="2B8AEE7C"/>
  <w16cid:commentId w16cid:paraId="45069509" w16cid:durableId="2B8B14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56EF" w14:textId="77777777" w:rsidR="004F755D" w:rsidRDefault="004F755D">
      <w:pPr>
        <w:ind w:firstLine="315"/>
      </w:pPr>
      <w:r>
        <w:separator/>
      </w:r>
    </w:p>
    <w:p w14:paraId="5366DEB2" w14:textId="77777777" w:rsidR="004F755D" w:rsidRDefault="004F755D">
      <w:pPr>
        <w:ind w:firstLine="315"/>
      </w:pPr>
    </w:p>
    <w:p w14:paraId="2C7A44A2" w14:textId="77777777" w:rsidR="004F755D" w:rsidRDefault="004F755D" w:rsidP="00C2346E">
      <w:pPr>
        <w:ind w:firstLine="315"/>
      </w:pPr>
    </w:p>
    <w:p w14:paraId="69A7B8E4" w14:textId="77777777" w:rsidR="004F755D" w:rsidRDefault="004F755D" w:rsidP="00435FBC">
      <w:pPr>
        <w:ind w:firstLine="315"/>
      </w:pPr>
    </w:p>
    <w:p w14:paraId="626CEBF3" w14:textId="77777777" w:rsidR="004F755D" w:rsidRDefault="004F755D" w:rsidP="00435FBC">
      <w:pPr>
        <w:ind w:firstLine="315"/>
      </w:pPr>
    </w:p>
    <w:p w14:paraId="07A4C36A" w14:textId="77777777" w:rsidR="004F755D" w:rsidRDefault="004F755D" w:rsidP="00D164C9">
      <w:pPr>
        <w:ind w:firstLine="315"/>
      </w:pPr>
    </w:p>
    <w:p w14:paraId="56E96FD4" w14:textId="77777777" w:rsidR="004F755D" w:rsidRDefault="004F755D">
      <w:pPr>
        <w:ind w:firstLine="315"/>
      </w:pPr>
    </w:p>
    <w:p w14:paraId="54740C4E" w14:textId="77777777" w:rsidR="004F755D" w:rsidRDefault="004F755D" w:rsidP="00920CB3">
      <w:pPr>
        <w:ind w:firstLine="315"/>
      </w:pPr>
    </w:p>
    <w:p w14:paraId="0308E295" w14:textId="77777777" w:rsidR="004F755D" w:rsidRDefault="004F755D">
      <w:pPr>
        <w:ind w:firstLine="315"/>
      </w:pPr>
    </w:p>
  </w:endnote>
  <w:endnote w:type="continuationSeparator" w:id="0">
    <w:p w14:paraId="391FA475" w14:textId="77777777" w:rsidR="004F755D" w:rsidRDefault="004F755D">
      <w:pPr>
        <w:ind w:firstLine="315"/>
      </w:pPr>
      <w:r>
        <w:continuationSeparator/>
      </w:r>
    </w:p>
    <w:p w14:paraId="0DF4EFBE" w14:textId="77777777" w:rsidR="004F755D" w:rsidRDefault="004F755D">
      <w:pPr>
        <w:ind w:firstLine="315"/>
      </w:pPr>
    </w:p>
    <w:p w14:paraId="089E0F03" w14:textId="77777777" w:rsidR="004F755D" w:rsidRDefault="004F755D" w:rsidP="00C2346E">
      <w:pPr>
        <w:ind w:firstLine="315"/>
      </w:pPr>
    </w:p>
    <w:p w14:paraId="32B2A867" w14:textId="77777777" w:rsidR="004F755D" w:rsidRDefault="004F755D" w:rsidP="00435FBC">
      <w:pPr>
        <w:ind w:firstLine="315"/>
      </w:pPr>
    </w:p>
    <w:p w14:paraId="0AF347BF" w14:textId="77777777" w:rsidR="004F755D" w:rsidRDefault="004F755D" w:rsidP="00435FBC">
      <w:pPr>
        <w:ind w:firstLine="315"/>
      </w:pPr>
    </w:p>
    <w:p w14:paraId="32141313" w14:textId="77777777" w:rsidR="004F755D" w:rsidRDefault="004F755D" w:rsidP="00D164C9">
      <w:pPr>
        <w:ind w:firstLine="315"/>
      </w:pPr>
    </w:p>
    <w:p w14:paraId="472C8B94" w14:textId="77777777" w:rsidR="004F755D" w:rsidRDefault="004F755D">
      <w:pPr>
        <w:ind w:firstLine="315"/>
      </w:pPr>
    </w:p>
    <w:p w14:paraId="12F39824" w14:textId="77777777" w:rsidR="004F755D" w:rsidRDefault="004F755D" w:rsidP="00920CB3">
      <w:pPr>
        <w:ind w:firstLine="315"/>
      </w:pPr>
    </w:p>
    <w:p w14:paraId="26205BB8" w14:textId="77777777" w:rsidR="004F755D" w:rsidRDefault="004F755D">
      <w:pPr>
        <w:ind w:firstLine="31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7809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7595C" w14:textId="4FF2C642" w:rsidR="00FD42E3" w:rsidRDefault="00FD42E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F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7F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609592" w14:textId="5718AB7A" w:rsidR="00511AB5" w:rsidRDefault="00511AB5">
    <w:pPr>
      <w:pStyle w:val="a7"/>
      <w:ind w:firstLine="270"/>
      <w:jc w:val="center"/>
      <w:rPr>
        <w:rFonts w:ascii="Times New Roman" w:eastAsia="宋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547EE" w14:textId="77777777" w:rsidR="004F755D" w:rsidRDefault="004F755D">
      <w:pPr>
        <w:ind w:firstLine="315"/>
      </w:pPr>
      <w:r>
        <w:separator/>
      </w:r>
    </w:p>
    <w:p w14:paraId="0FE54005" w14:textId="77777777" w:rsidR="004F755D" w:rsidRDefault="004F755D">
      <w:pPr>
        <w:ind w:firstLine="315"/>
      </w:pPr>
    </w:p>
    <w:p w14:paraId="68D5A906" w14:textId="77777777" w:rsidR="004F755D" w:rsidRDefault="004F755D" w:rsidP="00C2346E">
      <w:pPr>
        <w:ind w:firstLine="315"/>
      </w:pPr>
    </w:p>
    <w:p w14:paraId="67C247A2" w14:textId="77777777" w:rsidR="004F755D" w:rsidRDefault="004F755D" w:rsidP="00435FBC">
      <w:pPr>
        <w:ind w:firstLine="315"/>
      </w:pPr>
    </w:p>
    <w:p w14:paraId="234306BE" w14:textId="77777777" w:rsidR="004F755D" w:rsidRDefault="004F755D" w:rsidP="00435FBC">
      <w:pPr>
        <w:ind w:firstLine="315"/>
      </w:pPr>
    </w:p>
    <w:p w14:paraId="5D666849" w14:textId="77777777" w:rsidR="004F755D" w:rsidRDefault="004F755D" w:rsidP="00D164C9">
      <w:pPr>
        <w:ind w:firstLine="315"/>
      </w:pPr>
    </w:p>
    <w:p w14:paraId="3CBB9A60" w14:textId="77777777" w:rsidR="004F755D" w:rsidRDefault="004F755D">
      <w:pPr>
        <w:ind w:firstLine="315"/>
      </w:pPr>
    </w:p>
    <w:p w14:paraId="041E3743" w14:textId="77777777" w:rsidR="004F755D" w:rsidRDefault="004F755D" w:rsidP="00920CB3">
      <w:pPr>
        <w:ind w:firstLine="315"/>
      </w:pPr>
    </w:p>
    <w:p w14:paraId="163AA569" w14:textId="77777777" w:rsidR="004F755D" w:rsidRDefault="004F755D">
      <w:pPr>
        <w:ind w:firstLine="315"/>
      </w:pPr>
    </w:p>
  </w:footnote>
  <w:footnote w:type="continuationSeparator" w:id="0">
    <w:p w14:paraId="0C13D44B" w14:textId="77777777" w:rsidR="004F755D" w:rsidRDefault="004F755D">
      <w:pPr>
        <w:ind w:firstLine="315"/>
      </w:pPr>
      <w:r>
        <w:continuationSeparator/>
      </w:r>
    </w:p>
    <w:p w14:paraId="6FC3FB2A" w14:textId="77777777" w:rsidR="004F755D" w:rsidRDefault="004F755D">
      <w:pPr>
        <w:ind w:firstLine="315"/>
      </w:pPr>
    </w:p>
    <w:p w14:paraId="4C8763C2" w14:textId="77777777" w:rsidR="004F755D" w:rsidRDefault="004F755D" w:rsidP="00C2346E">
      <w:pPr>
        <w:ind w:firstLine="315"/>
      </w:pPr>
    </w:p>
    <w:p w14:paraId="010AD9BB" w14:textId="77777777" w:rsidR="004F755D" w:rsidRDefault="004F755D" w:rsidP="00435FBC">
      <w:pPr>
        <w:ind w:firstLine="315"/>
      </w:pPr>
    </w:p>
    <w:p w14:paraId="184F7CA7" w14:textId="77777777" w:rsidR="004F755D" w:rsidRDefault="004F755D" w:rsidP="00435FBC">
      <w:pPr>
        <w:ind w:firstLine="315"/>
      </w:pPr>
    </w:p>
    <w:p w14:paraId="3C6DE278" w14:textId="77777777" w:rsidR="004F755D" w:rsidRDefault="004F755D" w:rsidP="00D164C9">
      <w:pPr>
        <w:ind w:firstLine="315"/>
      </w:pPr>
    </w:p>
    <w:p w14:paraId="5E95E5BA" w14:textId="77777777" w:rsidR="004F755D" w:rsidRDefault="004F755D">
      <w:pPr>
        <w:ind w:firstLine="315"/>
      </w:pPr>
    </w:p>
    <w:p w14:paraId="379B07B5" w14:textId="77777777" w:rsidR="004F755D" w:rsidRDefault="004F755D" w:rsidP="00920CB3">
      <w:pPr>
        <w:ind w:firstLine="315"/>
      </w:pPr>
    </w:p>
    <w:p w14:paraId="51837D40" w14:textId="77777777" w:rsidR="004F755D" w:rsidRDefault="004F755D">
      <w:pPr>
        <w:ind w:firstLine="31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ZWM4NmQ5YjgyYzhlMzdmMGQwN2IzMWJjZjYxNjMifQ=="/>
  </w:docVars>
  <w:rsids>
    <w:rsidRoot w:val="00DE4BA8"/>
    <w:rsid w:val="EFAE4774"/>
    <w:rsid w:val="000041CC"/>
    <w:rsid w:val="000051B7"/>
    <w:rsid w:val="00013A42"/>
    <w:rsid w:val="0002045D"/>
    <w:rsid w:val="000217B2"/>
    <w:rsid w:val="000359A2"/>
    <w:rsid w:val="000359E7"/>
    <w:rsid w:val="00036C6F"/>
    <w:rsid w:val="00040B82"/>
    <w:rsid w:val="000466B0"/>
    <w:rsid w:val="00047365"/>
    <w:rsid w:val="00050BBF"/>
    <w:rsid w:val="00054BCC"/>
    <w:rsid w:val="000606B0"/>
    <w:rsid w:val="00065E2E"/>
    <w:rsid w:val="000661A0"/>
    <w:rsid w:val="0007536F"/>
    <w:rsid w:val="00077A63"/>
    <w:rsid w:val="00080FC2"/>
    <w:rsid w:val="00083389"/>
    <w:rsid w:val="000846F2"/>
    <w:rsid w:val="000A1CA8"/>
    <w:rsid w:val="000D174E"/>
    <w:rsid w:val="000D1BD9"/>
    <w:rsid w:val="000E76F6"/>
    <w:rsid w:val="000F6192"/>
    <w:rsid w:val="001017BF"/>
    <w:rsid w:val="001048D9"/>
    <w:rsid w:val="0010602D"/>
    <w:rsid w:val="00106184"/>
    <w:rsid w:val="00110CCA"/>
    <w:rsid w:val="001120C7"/>
    <w:rsid w:val="00116C89"/>
    <w:rsid w:val="00117A70"/>
    <w:rsid w:val="001216B4"/>
    <w:rsid w:val="00122270"/>
    <w:rsid w:val="00124E8C"/>
    <w:rsid w:val="00131B9F"/>
    <w:rsid w:val="0014259B"/>
    <w:rsid w:val="001439F4"/>
    <w:rsid w:val="00143DCE"/>
    <w:rsid w:val="00144191"/>
    <w:rsid w:val="00145693"/>
    <w:rsid w:val="00150970"/>
    <w:rsid w:val="001652BC"/>
    <w:rsid w:val="0016595A"/>
    <w:rsid w:val="00177C10"/>
    <w:rsid w:val="00195BFF"/>
    <w:rsid w:val="001A0E1F"/>
    <w:rsid w:val="001A763C"/>
    <w:rsid w:val="001B19DE"/>
    <w:rsid w:val="001B2643"/>
    <w:rsid w:val="001C3DEF"/>
    <w:rsid w:val="001D59B5"/>
    <w:rsid w:val="001D6ADB"/>
    <w:rsid w:val="001E1278"/>
    <w:rsid w:val="001F0ECC"/>
    <w:rsid w:val="001F3CC3"/>
    <w:rsid w:val="002004AA"/>
    <w:rsid w:val="00225F8F"/>
    <w:rsid w:val="00231956"/>
    <w:rsid w:val="00234583"/>
    <w:rsid w:val="002447AF"/>
    <w:rsid w:val="002458F2"/>
    <w:rsid w:val="00245CA1"/>
    <w:rsid w:val="00260F3D"/>
    <w:rsid w:val="00263926"/>
    <w:rsid w:val="00266B15"/>
    <w:rsid w:val="002703E7"/>
    <w:rsid w:val="00275272"/>
    <w:rsid w:val="00277F35"/>
    <w:rsid w:val="00282ACE"/>
    <w:rsid w:val="00286D1D"/>
    <w:rsid w:val="00291525"/>
    <w:rsid w:val="002915D4"/>
    <w:rsid w:val="00291864"/>
    <w:rsid w:val="00292730"/>
    <w:rsid w:val="00297FDA"/>
    <w:rsid w:val="002B6C97"/>
    <w:rsid w:val="002C0E1E"/>
    <w:rsid w:val="002C7F03"/>
    <w:rsid w:val="002D2936"/>
    <w:rsid w:val="002F3517"/>
    <w:rsid w:val="0030061D"/>
    <w:rsid w:val="003124FC"/>
    <w:rsid w:val="003145A8"/>
    <w:rsid w:val="00322297"/>
    <w:rsid w:val="003247F8"/>
    <w:rsid w:val="003300D2"/>
    <w:rsid w:val="00334336"/>
    <w:rsid w:val="00335B17"/>
    <w:rsid w:val="00342273"/>
    <w:rsid w:val="003434B4"/>
    <w:rsid w:val="00344FFB"/>
    <w:rsid w:val="0035034C"/>
    <w:rsid w:val="0037438C"/>
    <w:rsid w:val="00375223"/>
    <w:rsid w:val="00376502"/>
    <w:rsid w:val="0039581E"/>
    <w:rsid w:val="003A65F2"/>
    <w:rsid w:val="003B060D"/>
    <w:rsid w:val="003B3801"/>
    <w:rsid w:val="003C5423"/>
    <w:rsid w:val="003C575A"/>
    <w:rsid w:val="003D31FA"/>
    <w:rsid w:val="003F4F39"/>
    <w:rsid w:val="0040153F"/>
    <w:rsid w:val="004026C9"/>
    <w:rsid w:val="00421EA1"/>
    <w:rsid w:val="004221EE"/>
    <w:rsid w:val="0042278C"/>
    <w:rsid w:val="00435FBC"/>
    <w:rsid w:val="00436B98"/>
    <w:rsid w:val="0044203E"/>
    <w:rsid w:val="00465FE5"/>
    <w:rsid w:val="004712CD"/>
    <w:rsid w:val="004765CF"/>
    <w:rsid w:val="004858A4"/>
    <w:rsid w:val="00492EE0"/>
    <w:rsid w:val="004A2AA0"/>
    <w:rsid w:val="004B12F1"/>
    <w:rsid w:val="004D5BFE"/>
    <w:rsid w:val="004D6076"/>
    <w:rsid w:val="004E0BB2"/>
    <w:rsid w:val="004F2E19"/>
    <w:rsid w:val="004F39E2"/>
    <w:rsid w:val="004F6B7E"/>
    <w:rsid w:val="004F744B"/>
    <w:rsid w:val="004F755D"/>
    <w:rsid w:val="00505CE1"/>
    <w:rsid w:val="00505FF5"/>
    <w:rsid w:val="00511AB5"/>
    <w:rsid w:val="00533359"/>
    <w:rsid w:val="005361EF"/>
    <w:rsid w:val="00540335"/>
    <w:rsid w:val="00541358"/>
    <w:rsid w:val="00541C0A"/>
    <w:rsid w:val="00543612"/>
    <w:rsid w:val="00552214"/>
    <w:rsid w:val="005577D3"/>
    <w:rsid w:val="00557CCF"/>
    <w:rsid w:val="0056306C"/>
    <w:rsid w:val="005646CE"/>
    <w:rsid w:val="005678C1"/>
    <w:rsid w:val="00571D58"/>
    <w:rsid w:val="005768A3"/>
    <w:rsid w:val="00583995"/>
    <w:rsid w:val="00586740"/>
    <w:rsid w:val="00587415"/>
    <w:rsid w:val="00587891"/>
    <w:rsid w:val="00592970"/>
    <w:rsid w:val="00595B2A"/>
    <w:rsid w:val="00596BE6"/>
    <w:rsid w:val="005A4DCF"/>
    <w:rsid w:val="005A7E61"/>
    <w:rsid w:val="005B4610"/>
    <w:rsid w:val="005D0B19"/>
    <w:rsid w:val="005D24B9"/>
    <w:rsid w:val="005E4DF3"/>
    <w:rsid w:val="005E5742"/>
    <w:rsid w:val="005E6E28"/>
    <w:rsid w:val="005F112B"/>
    <w:rsid w:val="005F2F65"/>
    <w:rsid w:val="005F3747"/>
    <w:rsid w:val="006000C2"/>
    <w:rsid w:val="006010E6"/>
    <w:rsid w:val="006152C2"/>
    <w:rsid w:val="006323A5"/>
    <w:rsid w:val="00633458"/>
    <w:rsid w:val="00634ABF"/>
    <w:rsid w:val="00634D46"/>
    <w:rsid w:val="00636551"/>
    <w:rsid w:val="00642442"/>
    <w:rsid w:val="006532EF"/>
    <w:rsid w:val="00664A59"/>
    <w:rsid w:val="00670109"/>
    <w:rsid w:val="00677248"/>
    <w:rsid w:val="0068182F"/>
    <w:rsid w:val="00683092"/>
    <w:rsid w:val="00690054"/>
    <w:rsid w:val="00692367"/>
    <w:rsid w:val="00697AA1"/>
    <w:rsid w:val="006A6C3D"/>
    <w:rsid w:val="006B0B3B"/>
    <w:rsid w:val="006B16E9"/>
    <w:rsid w:val="006B3461"/>
    <w:rsid w:val="006B3C41"/>
    <w:rsid w:val="006C30BA"/>
    <w:rsid w:val="006C4428"/>
    <w:rsid w:val="006D764E"/>
    <w:rsid w:val="006E7EE5"/>
    <w:rsid w:val="007144DB"/>
    <w:rsid w:val="007146BE"/>
    <w:rsid w:val="00715125"/>
    <w:rsid w:val="00726851"/>
    <w:rsid w:val="00730191"/>
    <w:rsid w:val="007341E7"/>
    <w:rsid w:val="00747EEE"/>
    <w:rsid w:val="00750103"/>
    <w:rsid w:val="00751BEE"/>
    <w:rsid w:val="00753A4E"/>
    <w:rsid w:val="007573DA"/>
    <w:rsid w:val="00764913"/>
    <w:rsid w:val="00764C8E"/>
    <w:rsid w:val="00770525"/>
    <w:rsid w:val="0077520A"/>
    <w:rsid w:val="007804BE"/>
    <w:rsid w:val="00793A32"/>
    <w:rsid w:val="007A079E"/>
    <w:rsid w:val="007A2220"/>
    <w:rsid w:val="007B0B72"/>
    <w:rsid w:val="007B7B07"/>
    <w:rsid w:val="007C5318"/>
    <w:rsid w:val="007D225F"/>
    <w:rsid w:val="007E3EF2"/>
    <w:rsid w:val="007E487F"/>
    <w:rsid w:val="007E5857"/>
    <w:rsid w:val="007E6595"/>
    <w:rsid w:val="00800DD9"/>
    <w:rsid w:val="008024FA"/>
    <w:rsid w:val="00804484"/>
    <w:rsid w:val="00810F93"/>
    <w:rsid w:val="00813A7A"/>
    <w:rsid w:val="00857619"/>
    <w:rsid w:val="00874905"/>
    <w:rsid w:val="00894B53"/>
    <w:rsid w:val="00897804"/>
    <w:rsid w:val="008A1768"/>
    <w:rsid w:val="008A23D9"/>
    <w:rsid w:val="008A3DDF"/>
    <w:rsid w:val="008B3C03"/>
    <w:rsid w:val="008B7F0D"/>
    <w:rsid w:val="008C6085"/>
    <w:rsid w:val="008C708A"/>
    <w:rsid w:val="008D32A6"/>
    <w:rsid w:val="008D53C1"/>
    <w:rsid w:val="008F2E29"/>
    <w:rsid w:val="008F4347"/>
    <w:rsid w:val="00902598"/>
    <w:rsid w:val="009042C3"/>
    <w:rsid w:val="009059F7"/>
    <w:rsid w:val="00906ECB"/>
    <w:rsid w:val="00910780"/>
    <w:rsid w:val="00920CB3"/>
    <w:rsid w:val="00923F95"/>
    <w:rsid w:val="00930E9F"/>
    <w:rsid w:val="00943AF6"/>
    <w:rsid w:val="009551F7"/>
    <w:rsid w:val="00955D80"/>
    <w:rsid w:val="009751A3"/>
    <w:rsid w:val="009A63F7"/>
    <w:rsid w:val="009A768C"/>
    <w:rsid w:val="009B17EF"/>
    <w:rsid w:val="009C1C45"/>
    <w:rsid w:val="009C7E9B"/>
    <w:rsid w:val="009C7F43"/>
    <w:rsid w:val="009D729C"/>
    <w:rsid w:val="009E0C39"/>
    <w:rsid w:val="009E39BE"/>
    <w:rsid w:val="009E42E3"/>
    <w:rsid w:val="009E56EC"/>
    <w:rsid w:val="009F437E"/>
    <w:rsid w:val="009F4A04"/>
    <w:rsid w:val="00A0768B"/>
    <w:rsid w:val="00A21AFC"/>
    <w:rsid w:val="00A26535"/>
    <w:rsid w:val="00A27DD5"/>
    <w:rsid w:val="00A354E2"/>
    <w:rsid w:val="00A448DB"/>
    <w:rsid w:val="00A51690"/>
    <w:rsid w:val="00A52D1A"/>
    <w:rsid w:val="00A53A8B"/>
    <w:rsid w:val="00A63123"/>
    <w:rsid w:val="00A76B4D"/>
    <w:rsid w:val="00A8003E"/>
    <w:rsid w:val="00A954E4"/>
    <w:rsid w:val="00AA548F"/>
    <w:rsid w:val="00AA6E75"/>
    <w:rsid w:val="00AB60E4"/>
    <w:rsid w:val="00AB6B4B"/>
    <w:rsid w:val="00AB6D7F"/>
    <w:rsid w:val="00AC4526"/>
    <w:rsid w:val="00AD00A3"/>
    <w:rsid w:val="00AE36AB"/>
    <w:rsid w:val="00AE3B11"/>
    <w:rsid w:val="00AE59EA"/>
    <w:rsid w:val="00AE5FCD"/>
    <w:rsid w:val="00AF2A9A"/>
    <w:rsid w:val="00AF33B7"/>
    <w:rsid w:val="00B0467B"/>
    <w:rsid w:val="00B1166C"/>
    <w:rsid w:val="00B14992"/>
    <w:rsid w:val="00B3599B"/>
    <w:rsid w:val="00B36C24"/>
    <w:rsid w:val="00B37A53"/>
    <w:rsid w:val="00B40009"/>
    <w:rsid w:val="00B51D14"/>
    <w:rsid w:val="00B611FB"/>
    <w:rsid w:val="00B61816"/>
    <w:rsid w:val="00B626E3"/>
    <w:rsid w:val="00B63184"/>
    <w:rsid w:val="00B6334C"/>
    <w:rsid w:val="00B750ED"/>
    <w:rsid w:val="00B75E43"/>
    <w:rsid w:val="00B83FA5"/>
    <w:rsid w:val="00B933C6"/>
    <w:rsid w:val="00B96DBC"/>
    <w:rsid w:val="00BA4FF2"/>
    <w:rsid w:val="00BA5969"/>
    <w:rsid w:val="00BC58A0"/>
    <w:rsid w:val="00BC75D3"/>
    <w:rsid w:val="00BE3BFC"/>
    <w:rsid w:val="00BF0C45"/>
    <w:rsid w:val="00BF2738"/>
    <w:rsid w:val="00BF7B6A"/>
    <w:rsid w:val="00C03FEA"/>
    <w:rsid w:val="00C06A27"/>
    <w:rsid w:val="00C1528D"/>
    <w:rsid w:val="00C16AF7"/>
    <w:rsid w:val="00C2346E"/>
    <w:rsid w:val="00C32D7E"/>
    <w:rsid w:val="00C452DE"/>
    <w:rsid w:val="00C50CEC"/>
    <w:rsid w:val="00C56115"/>
    <w:rsid w:val="00C81DAE"/>
    <w:rsid w:val="00C83B0A"/>
    <w:rsid w:val="00C8671A"/>
    <w:rsid w:val="00C9096C"/>
    <w:rsid w:val="00C90A5A"/>
    <w:rsid w:val="00CB0BB5"/>
    <w:rsid w:val="00CB2F84"/>
    <w:rsid w:val="00CB47ED"/>
    <w:rsid w:val="00CC16AA"/>
    <w:rsid w:val="00CC1A38"/>
    <w:rsid w:val="00CC200C"/>
    <w:rsid w:val="00CC49CC"/>
    <w:rsid w:val="00CC586E"/>
    <w:rsid w:val="00CE1B7A"/>
    <w:rsid w:val="00CE231A"/>
    <w:rsid w:val="00D14C40"/>
    <w:rsid w:val="00D164C9"/>
    <w:rsid w:val="00D21760"/>
    <w:rsid w:val="00D2634A"/>
    <w:rsid w:val="00D321A0"/>
    <w:rsid w:val="00D35095"/>
    <w:rsid w:val="00D36D30"/>
    <w:rsid w:val="00D41A64"/>
    <w:rsid w:val="00D42AFE"/>
    <w:rsid w:val="00D50787"/>
    <w:rsid w:val="00D5703E"/>
    <w:rsid w:val="00D632FE"/>
    <w:rsid w:val="00D638C6"/>
    <w:rsid w:val="00D67713"/>
    <w:rsid w:val="00D97FF7"/>
    <w:rsid w:val="00DB4825"/>
    <w:rsid w:val="00DD11B8"/>
    <w:rsid w:val="00DE4BA8"/>
    <w:rsid w:val="00DF3D00"/>
    <w:rsid w:val="00DF5525"/>
    <w:rsid w:val="00E00CD8"/>
    <w:rsid w:val="00E15D52"/>
    <w:rsid w:val="00E16E3D"/>
    <w:rsid w:val="00E21BD3"/>
    <w:rsid w:val="00E26121"/>
    <w:rsid w:val="00E31B42"/>
    <w:rsid w:val="00E32DBF"/>
    <w:rsid w:val="00E3577D"/>
    <w:rsid w:val="00E52683"/>
    <w:rsid w:val="00E73489"/>
    <w:rsid w:val="00E754F0"/>
    <w:rsid w:val="00E762B6"/>
    <w:rsid w:val="00E83A94"/>
    <w:rsid w:val="00EA1C2B"/>
    <w:rsid w:val="00EB024D"/>
    <w:rsid w:val="00EB4483"/>
    <w:rsid w:val="00EC616F"/>
    <w:rsid w:val="00ED1814"/>
    <w:rsid w:val="00ED2FCE"/>
    <w:rsid w:val="00F10A6B"/>
    <w:rsid w:val="00F215A1"/>
    <w:rsid w:val="00F30DB1"/>
    <w:rsid w:val="00F44EB5"/>
    <w:rsid w:val="00F471BA"/>
    <w:rsid w:val="00F70E2F"/>
    <w:rsid w:val="00F86CBC"/>
    <w:rsid w:val="00F94B03"/>
    <w:rsid w:val="00F959AB"/>
    <w:rsid w:val="00F96C5E"/>
    <w:rsid w:val="00FA0C4A"/>
    <w:rsid w:val="00FA41FA"/>
    <w:rsid w:val="00FB2F44"/>
    <w:rsid w:val="00FB5E9F"/>
    <w:rsid w:val="00FC21B7"/>
    <w:rsid w:val="00FC4BE5"/>
    <w:rsid w:val="00FD1AF5"/>
    <w:rsid w:val="00FD42E3"/>
    <w:rsid w:val="00FD4F4E"/>
    <w:rsid w:val="00FD7ECC"/>
    <w:rsid w:val="00FE174E"/>
    <w:rsid w:val="00FE186B"/>
    <w:rsid w:val="00FE236E"/>
    <w:rsid w:val="00FE3C94"/>
    <w:rsid w:val="00FE4215"/>
    <w:rsid w:val="00FF16F0"/>
    <w:rsid w:val="00FF5FC3"/>
    <w:rsid w:val="1FFD47A0"/>
    <w:rsid w:val="66BF0F5A"/>
    <w:rsid w:val="72F7D959"/>
    <w:rsid w:val="784723DB"/>
    <w:rsid w:val="7F7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/>
    </o:shapedefaults>
    <o:shapelayout v:ext="edit">
      <o:idmap v:ext="edit" data="1"/>
    </o:shapelayout>
  </w:shapeDefaults>
  <w:decimalSymbol w:val="."/>
  <w:listSeparator w:val=","/>
  <w14:docId w14:val="050914D0"/>
  <w15:docId w15:val="{AF0C6C2F-5CAD-4262-B7FE-B3E50F93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styleId="af">
    <w:name w:val="Plain Text"/>
    <w:basedOn w:val="a"/>
    <w:link w:val="af0"/>
    <w:semiHidden/>
    <w:unhideWhenUsed/>
    <w:qFormat/>
    <w:rsid w:val="004F744B"/>
    <w:rPr>
      <w:rFonts w:ascii="宋体" w:hAnsi="Courier New"/>
      <w:szCs w:val="24"/>
    </w:rPr>
  </w:style>
  <w:style w:type="character" w:customStyle="1" w:styleId="af0">
    <w:name w:val="纯文本 字符"/>
    <w:basedOn w:val="a0"/>
    <w:link w:val="af"/>
    <w:semiHidden/>
    <w:rsid w:val="004F744B"/>
    <w:rPr>
      <w:rFonts w:ascii="宋体" w:hAnsi="Courier New"/>
      <w:kern w:val="2"/>
      <w:sz w:val="21"/>
      <w:szCs w:val="24"/>
    </w:rPr>
  </w:style>
  <w:style w:type="paragraph" w:styleId="af1">
    <w:name w:val="List Paragraph"/>
    <w:basedOn w:val="a"/>
    <w:uiPriority w:val="99"/>
    <w:rsid w:val="00050BBF"/>
    <w:pPr>
      <w:ind w:firstLineChars="200" w:firstLine="420"/>
    </w:pPr>
  </w:style>
  <w:style w:type="paragraph" w:styleId="af2">
    <w:name w:val="Subtitle"/>
    <w:basedOn w:val="a"/>
    <w:next w:val="a"/>
    <w:link w:val="af3"/>
    <w:uiPriority w:val="11"/>
    <w:qFormat/>
    <w:rsid w:val="005E4DF3"/>
    <w:pPr>
      <w:spacing w:line="560" w:lineRule="exact"/>
      <w:ind w:firstLineChars="200" w:firstLine="200"/>
      <w:outlineLvl w:val="1"/>
    </w:pPr>
    <w:rPr>
      <w:rFonts w:eastAsia="黑体"/>
      <w:b/>
      <w:bCs/>
      <w:kern w:val="28"/>
      <w:sz w:val="32"/>
      <w:szCs w:val="32"/>
    </w:rPr>
  </w:style>
  <w:style w:type="character" w:customStyle="1" w:styleId="af3">
    <w:name w:val="副标题 字符"/>
    <w:basedOn w:val="a0"/>
    <w:link w:val="af2"/>
    <w:uiPriority w:val="11"/>
    <w:rsid w:val="005E4DF3"/>
    <w:rPr>
      <w:rFonts w:eastAsia="黑体"/>
      <w:b/>
      <w:bCs/>
      <w:kern w:val="28"/>
      <w:sz w:val="32"/>
      <w:szCs w:val="32"/>
    </w:rPr>
  </w:style>
  <w:style w:type="character" w:styleId="af4">
    <w:name w:val="Strong"/>
    <w:basedOn w:val="a0"/>
    <w:uiPriority w:val="22"/>
    <w:qFormat/>
    <w:rsid w:val="00505CE1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505CE1"/>
    <w:pPr>
      <w:spacing w:line="360" w:lineRule="auto"/>
      <w:ind w:firstLineChars="200" w:firstLine="200"/>
      <w:outlineLvl w:val="0"/>
    </w:pPr>
    <w:rPr>
      <w:rFonts w:ascii="Times New Roman" w:eastAsia="仿宋_GB2312" w:hAnsi="Times New Roman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505CE1"/>
    <w:rPr>
      <w:rFonts w:ascii="Times New Roman" w:eastAsia="仿宋_GB2312" w:hAnsi="Times New Roman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E067-D31A-4F68-BEEC-17D8E31B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39</cp:revision>
  <cp:lastPrinted>2025-05-28T08:43:00Z</cp:lastPrinted>
  <dcterms:created xsi:type="dcterms:W3CDTF">2025-04-06T00:08:00Z</dcterms:created>
  <dcterms:modified xsi:type="dcterms:W3CDTF">2025-06-06T06:56:00Z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99834F1B502B4993BEC498CEC8BE8C60_12</vt:lpwstr>
  </property>
</Properties>
</file>